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130147" w14:textId="1F24D158" w:rsidR="005B0BCC" w:rsidRDefault="005B0BCC" w:rsidP="009D4D1C">
      <w:pPr>
        <w:rPr>
          <w:rFonts w:ascii="Times New Roman" w:hAnsi="Times New Roman" w:cs="Times New Roman"/>
          <w:b/>
          <w:bCs/>
          <w:sz w:val="20"/>
          <w:szCs w:val="20"/>
          <w:lang w:val="en-US"/>
        </w:rPr>
      </w:pPr>
      <w:r>
        <w:rPr>
          <w:rFonts w:ascii="Times New Roman" w:hAnsi="Times New Roman" w:cs="Times New Roman"/>
          <w:b/>
          <w:bCs/>
          <w:sz w:val="20"/>
          <w:szCs w:val="20"/>
          <w:lang w:val="en-US"/>
        </w:rPr>
        <w:t>Annex III</w:t>
      </w:r>
    </w:p>
    <w:p w14:paraId="3D59226C" w14:textId="059322D1" w:rsidR="009D4D1C" w:rsidRPr="00CB716D" w:rsidRDefault="009D4D1C" w:rsidP="009D4D1C">
      <w:pPr>
        <w:rPr>
          <w:rFonts w:ascii="Times New Roman" w:hAnsi="Times New Roman" w:cs="Times New Roman"/>
          <w:b/>
          <w:sz w:val="20"/>
          <w:szCs w:val="20"/>
          <w:lang w:val="en-GB"/>
        </w:rPr>
      </w:pPr>
      <w:r w:rsidRPr="002C529E">
        <w:rPr>
          <w:rFonts w:ascii="Times New Roman" w:hAnsi="Times New Roman" w:cs="Times New Roman"/>
          <w:b/>
          <w:bCs/>
          <w:sz w:val="20"/>
          <w:szCs w:val="20"/>
          <w:lang w:val="en-US"/>
        </w:rPr>
        <w:t>S.2</w:t>
      </w:r>
      <w:r w:rsidRPr="00CB716D">
        <w:rPr>
          <w:rFonts w:ascii="Times New Roman" w:hAnsi="Times New Roman" w:cs="Times New Roman"/>
          <w:b/>
          <w:bCs/>
          <w:sz w:val="20"/>
          <w:szCs w:val="20"/>
          <w:lang w:val="en-US"/>
        </w:rPr>
        <w:t>5.01</w:t>
      </w:r>
      <w:r w:rsidR="00202077">
        <w:rPr>
          <w:rFonts w:ascii="Times New Roman" w:hAnsi="Times New Roman" w:cs="Times New Roman"/>
          <w:b/>
          <w:bCs/>
          <w:sz w:val="20"/>
          <w:szCs w:val="20"/>
          <w:lang w:val="en-US"/>
        </w:rPr>
        <w:t>.</w:t>
      </w:r>
      <w:r w:rsidRPr="00CB716D">
        <w:rPr>
          <w:rFonts w:ascii="Times New Roman" w:hAnsi="Times New Roman" w:cs="Times New Roman"/>
          <w:b/>
          <w:bCs/>
          <w:sz w:val="20"/>
          <w:szCs w:val="20"/>
          <w:lang w:val="en-US"/>
        </w:rPr>
        <w:t xml:space="preserve"> – </w:t>
      </w:r>
      <w:r w:rsidRPr="00CB716D">
        <w:rPr>
          <w:rFonts w:ascii="Times New Roman" w:hAnsi="Times New Roman" w:cs="Times New Roman"/>
          <w:b/>
          <w:sz w:val="20"/>
          <w:szCs w:val="20"/>
          <w:lang w:val="en-GB"/>
        </w:rPr>
        <w:t xml:space="preserve">Solvency Capital Requirement - for </w:t>
      </w:r>
      <w:r w:rsidR="00625A08" w:rsidRPr="00625A08">
        <w:rPr>
          <w:rFonts w:ascii="Times New Roman" w:hAnsi="Times New Roman" w:cs="Times New Roman"/>
          <w:b/>
          <w:sz w:val="20"/>
          <w:szCs w:val="20"/>
          <w:lang w:val="en-GB"/>
        </w:rPr>
        <w:t>groups</w:t>
      </w:r>
      <w:r w:rsidRPr="00CB716D">
        <w:rPr>
          <w:rFonts w:ascii="Times New Roman" w:hAnsi="Times New Roman" w:cs="Times New Roman"/>
          <w:b/>
          <w:sz w:val="20"/>
          <w:szCs w:val="20"/>
          <w:lang w:val="en-GB"/>
        </w:rPr>
        <w:t xml:space="preserve"> on Standard Formula</w:t>
      </w:r>
    </w:p>
    <w:p w14:paraId="1F8A5B95" w14:textId="77777777" w:rsidR="009D4D1C" w:rsidRPr="002C529E" w:rsidRDefault="009D4D1C" w:rsidP="009D4D1C">
      <w:pPr>
        <w:rPr>
          <w:rFonts w:ascii="Times New Roman" w:hAnsi="Times New Roman" w:cs="Times New Roman"/>
          <w:b/>
          <w:bCs/>
          <w:sz w:val="20"/>
          <w:szCs w:val="20"/>
          <w:lang w:val="en-US"/>
        </w:rPr>
      </w:pPr>
      <w:r w:rsidRPr="00CB716D">
        <w:rPr>
          <w:rFonts w:ascii="Times New Roman" w:hAnsi="Times New Roman" w:cs="Times New Roman"/>
          <w:b/>
          <w:bCs/>
          <w:sz w:val="20"/>
          <w:szCs w:val="20"/>
          <w:lang w:val="en-US"/>
        </w:rPr>
        <w:t>General comments:</w:t>
      </w:r>
    </w:p>
    <w:p w14:paraId="285A56C4" w14:textId="0FEDA32F" w:rsidR="002B3138" w:rsidRPr="00261179" w:rsidRDefault="009D4D1C" w:rsidP="00353A6C">
      <w:pPr>
        <w:jc w:val="both"/>
        <w:rPr>
          <w:rFonts w:ascii="Times New Roman" w:hAnsi="Times New Roman" w:cs="Times New Roman"/>
          <w:sz w:val="20"/>
          <w:szCs w:val="20"/>
          <w:lang w:val="en-GB"/>
        </w:rPr>
      </w:pPr>
      <w:r w:rsidRPr="00261179">
        <w:rPr>
          <w:rFonts w:ascii="Times New Roman" w:hAnsi="Times New Roman" w:cs="Times New Roman"/>
          <w:sz w:val="20"/>
          <w:szCs w:val="20"/>
          <w:lang w:val="en-GB"/>
        </w:rPr>
        <w:t xml:space="preserve">This Annex contains additional instructions in relation to the templates included in Annex I of this Regulation. The first column of the next table identifies the items to be </w:t>
      </w:r>
      <w:r w:rsidR="0060371A" w:rsidRPr="00261179">
        <w:rPr>
          <w:rFonts w:ascii="Times New Roman" w:hAnsi="Times New Roman" w:cs="Times New Roman"/>
          <w:sz w:val="20"/>
          <w:szCs w:val="20"/>
          <w:lang w:val="en-GB"/>
        </w:rPr>
        <w:t xml:space="preserve">disclosed </w:t>
      </w:r>
      <w:r w:rsidRPr="00261179">
        <w:rPr>
          <w:rFonts w:ascii="Times New Roman" w:hAnsi="Times New Roman" w:cs="Times New Roman"/>
          <w:sz w:val="20"/>
          <w:szCs w:val="20"/>
          <w:lang w:val="en-GB"/>
        </w:rPr>
        <w:t>by identifying the columns and lines as showed in the template in Annex I.</w:t>
      </w:r>
    </w:p>
    <w:p w14:paraId="1370330E" w14:textId="2A99F242" w:rsidR="002377CF" w:rsidRPr="00261179" w:rsidRDefault="002377CF" w:rsidP="002377CF">
      <w:pPr>
        <w:jc w:val="both"/>
        <w:rPr>
          <w:rFonts w:ascii="Times New Roman" w:hAnsi="Times New Roman" w:cs="Times New Roman"/>
          <w:sz w:val="20"/>
          <w:szCs w:val="20"/>
          <w:lang w:val="en-GB"/>
        </w:rPr>
      </w:pPr>
      <w:r w:rsidRPr="00261179">
        <w:rPr>
          <w:rFonts w:ascii="Times New Roman" w:hAnsi="Times New Roman" w:cs="Times New Roman"/>
          <w:sz w:val="20"/>
          <w:szCs w:val="20"/>
          <w:lang w:val="en-GB"/>
        </w:rPr>
        <w:t xml:space="preserve">This annex relates to annual disclosure of information for </w:t>
      </w:r>
      <w:r w:rsidR="009375F8" w:rsidRPr="00261179">
        <w:rPr>
          <w:rFonts w:ascii="Times New Roman" w:hAnsi="Times New Roman" w:cs="Times New Roman"/>
          <w:sz w:val="20"/>
          <w:szCs w:val="20"/>
          <w:lang w:val="en-GB"/>
        </w:rPr>
        <w:t>groups</w:t>
      </w:r>
      <w:r w:rsidRPr="00261179">
        <w:rPr>
          <w:rFonts w:ascii="Times New Roman" w:hAnsi="Times New Roman" w:cs="Times New Roman"/>
          <w:sz w:val="20"/>
          <w:szCs w:val="20"/>
          <w:lang w:val="en-GB"/>
        </w:rPr>
        <w:t xml:space="preserve">. </w:t>
      </w:r>
    </w:p>
    <w:p w14:paraId="52A7AAF4" w14:textId="77777777" w:rsidR="009375F8" w:rsidRPr="00261179" w:rsidRDefault="009375F8" w:rsidP="009375F8">
      <w:pPr>
        <w:jc w:val="both"/>
        <w:rPr>
          <w:rFonts w:ascii="Times New Roman" w:hAnsi="Times New Roman" w:cs="Times New Roman"/>
          <w:sz w:val="20"/>
          <w:szCs w:val="20"/>
          <w:lang w:val="en-GB"/>
        </w:rPr>
      </w:pPr>
      <w:r w:rsidRPr="00261179">
        <w:rPr>
          <w:rFonts w:ascii="Times New Roman" w:hAnsi="Times New Roman" w:cs="Times New Roman"/>
          <w:sz w:val="20"/>
          <w:szCs w:val="20"/>
          <w:lang w:val="en-GB"/>
        </w:rPr>
        <w:t xml:space="preserve">For group reporting the following specific requirements shall be met: </w:t>
      </w:r>
    </w:p>
    <w:p w14:paraId="055642F6" w14:textId="77777777" w:rsidR="009375F8" w:rsidRPr="00934C1A" w:rsidRDefault="009375F8" w:rsidP="009375F8">
      <w:pPr>
        <w:pStyle w:val="ListParagraph"/>
        <w:numPr>
          <w:ilvl w:val="0"/>
          <w:numId w:val="3"/>
        </w:num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The information until R0460 is applicable when method 1 as defined in </w:t>
      </w:r>
      <w:r>
        <w:rPr>
          <w:rFonts w:ascii="Times New Roman" w:hAnsi="Times New Roman" w:cs="Times New Roman"/>
          <w:sz w:val="20"/>
          <w:szCs w:val="20"/>
          <w:lang w:val="en-GB"/>
        </w:rPr>
        <w:t>Article</w:t>
      </w:r>
      <w:r w:rsidRPr="00934C1A">
        <w:rPr>
          <w:rFonts w:ascii="Times New Roman" w:hAnsi="Times New Roman" w:cs="Times New Roman"/>
          <w:sz w:val="20"/>
          <w:szCs w:val="20"/>
          <w:lang w:val="en-GB"/>
        </w:rPr>
        <w:t xml:space="preserve"> 230 of  Solvency  II Directive  is  used,  either  exclusive</w:t>
      </w:r>
      <w:bookmarkStart w:id="0" w:name="_GoBack"/>
      <w:bookmarkEnd w:id="0"/>
      <w:r w:rsidRPr="00934C1A">
        <w:rPr>
          <w:rFonts w:ascii="Times New Roman" w:hAnsi="Times New Roman" w:cs="Times New Roman"/>
          <w:sz w:val="20"/>
          <w:szCs w:val="20"/>
          <w:lang w:val="en-GB"/>
        </w:rPr>
        <w:t xml:space="preserve">ly  or  in  combination with method 2 as defined in </w:t>
      </w:r>
      <w:r>
        <w:rPr>
          <w:rFonts w:ascii="Times New Roman" w:hAnsi="Times New Roman" w:cs="Times New Roman"/>
          <w:sz w:val="20"/>
          <w:szCs w:val="20"/>
          <w:lang w:val="en-GB"/>
        </w:rPr>
        <w:t>Article</w:t>
      </w:r>
      <w:r w:rsidRPr="00934C1A">
        <w:rPr>
          <w:rFonts w:ascii="Times New Roman" w:hAnsi="Times New Roman" w:cs="Times New Roman"/>
          <w:sz w:val="20"/>
          <w:szCs w:val="20"/>
          <w:lang w:val="en-GB"/>
        </w:rPr>
        <w:t xml:space="preserve"> 233 of Solvency II Directive; </w:t>
      </w:r>
    </w:p>
    <w:p w14:paraId="0E6B2ED6" w14:textId="2067D228" w:rsidR="009375F8" w:rsidRPr="00934C1A" w:rsidRDefault="009375F8">
      <w:pPr>
        <w:pStyle w:val="ListParagraph"/>
        <w:numPr>
          <w:ilvl w:val="0"/>
          <w:numId w:val="3"/>
        </w:num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When  combination  method  is  being  used,  the information until R0460 is  to  be submitted  only  for  the  part  of  the  group  calculated  with  method 1 as defined in </w:t>
      </w:r>
      <w:r>
        <w:rPr>
          <w:rFonts w:ascii="Times New Roman" w:hAnsi="Times New Roman" w:cs="Times New Roman"/>
          <w:sz w:val="20"/>
          <w:szCs w:val="20"/>
          <w:lang w:val="en-GB"/>
        </w:rPr>
        <w:t>Article</w:t>
      </w:r>
      <w:r w:rsidRPr="00934C1A">
        <w:rPr>
          <w:rFonts w:ascii="Times New Roman" w:hAnsi="Times New Roman" w:cs="Times New Roman"/>
          <w:sz w:val="20"/>
          <w:szCs w:val="20"/>
          <w:lang w:val="en-GB"/>
        </w:rPr>
        <w:t xml:space="preserve"> 230 of Solvency II Directive.</w:t>
      </w:r>
    </w:p>
    <w:tbl>
      <w:tblP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8"/>
        <w:gridCol w:w="2551"/>
        <w:gridCol w:w="4605"/>
      </w:tblGrid>
      <w:tr w:rsidR="0018365E" w:rsidRPr="0018365E" w14:paraId="08E6F2AE" w14:textId="77777777" w:rsidTr="00261179">
        <w:trPr>
          <w:trHeight w:val="284"/>
        </w:trPr>
        <w:tc>
          <w:tcPr>
            <w:tcW w:w="1488" w:type="dxa"/>
            <w:shd w:val="clear" w:color="000000" w:fill="FFFFFF"/>
            <w:vAlign w:val="center"/>
          </w:tcPr>
          <w:p w14:paraId="1056EB2A" w14:textId="77777777" w:rsidR="0018365E" w:rsidRPr="005B1D20" w:rsidRDefault="0018365E" w:rsidP="00261179">
            <w:pPr>
              <w:spacing w:after="0" w:line="240" w:lineRule="auto"/>
              <w:jc w:val="center"/>
              <w:rPr>
                <w:rFonts w:ascii="Times New Roman" w:eastAsia="Times New Roman" w:hAnsi="Times New Roman" w:cs="Times New Roman"/>
                <w:b/>
                <w:sz w:val="20"/>
                <w:szCs w:val="20"/>
                <w:lang w:val="en-GB" w:eastAsia="es-ES"/>
              </w:rPr>
            </w:pPr>
          </w:p>
        </w:tc>
        <w:tc>
          <w:tcPr>
            <w:tcW w:w="2551" w:type="dxa"/>
            <w:shd w:val="clear" w:color="000000" w:fill="FFFFFF"/>
            <w:vAlign w:val="center"/>
          </w:tcPr>
          <w:p w14:paraId="71886C0B" w14:textId="4362D321" w:rsidR="0018365E" w:rsidRPr="005B1D20" w:rsidRDefault="0018365E" w:rsidP="00261179">
            <w:pPr>
              <w:spacing w:after="0" w:line="240" w:lineRule="auto"/>
              <w:jc w:val="center"/>
              <w:rPr>
                <w:rFonts w:ascii="Times New Roman" w:eastAsia="Times New Roman" w:hAnsi="Times New Roman" w:cs="Times New Roman"/>
                <w:b/>
                <w:sz w:val="20"/>
                <w:szCs w:val="20"/>
                <w:lang w:val="en-GB" w:eastAsia="es-ES"/>
              </w:rPr>
            </w:pPr>
            <w:r w:rsidRPr="005B1D20">
              <w:rPr>
                <w:rFonts w:ascii="Times New Roman" w:eastAsia="Times New Roman" w:hAnsi="Times New Roman" w:cs="Times New Roman"/>
                <w:b/>
                <w:sz w:val="20"/>
                <w:szCs w:val="20"/>
                <w:lang w:val="en-GB" w:eastAsia="es-ES"/>
              </w:rPr>
              <w:t>ITEM</w:t>
            </w:r>
          </w:p>
        </w:tc>
        <w:tc>
          <w:tcPr>
            <w:tcW w:w="4605" w:type="dxa"/>
            <w:shd w:val="clear" w:color="000000" w:fill="FFFFFF"/>
            <w:vAlign w:val="center"/>
          </w:tcPr>
          <w:p w14:paraId="19A5CE45" w14:textId="414A82A3" w:rsidR="0018365E" w:rsidRPr="005B1D20" w:rsidRDefault="0018365E" w:rsidP="00261179">
            <w:pPr>
              <w:spacing w:after="0" w:line="240" w:lineRule="auto"/>
              <w:jc w:val="center"/>
              <w:rPr>
                <w:rFonts w:ascii="Times New Roman" w:eastAsia="Times New Roman" w:hAnsi="Times New Roman" w:cs="Times New Roman"/>
                <w:b/>
                <w:sz w:val="20"/>
                <w:szCs w:val="20"/>
                <w:lang w:val="en-GB" w:eastAsia="es-ES"/>
              </w:rPr>
            </w:pPr>
            <w:r w:rsidRPr="005B1D20">
              <w:rPr>
                <w:rFonts w:ascii="Times New Roman" w:eastAsia="Times New Roman" w:hAnsi="Times New Roman" w:cs="Times New Roman"/>
                <w:b/>
                <w:sz w:val="20"/>
                <w:szCs w:val="20"/>
                <w:lang w:val="en-GB" w:eastAsia="es-ES"/>
              </w:rPr>
              <w:t>INSTRUCTIONS</w:t>
            </w:r>
          </w:p>
        </w:tc>
      </w:tr>
      <w:tr w:rsidR="00AA74F3" w:rsidRPr="002C529E" w14:paraId="3E36A269" w14:textId="77777777" w:rsidTr="00EF0081">
        <w:trPr>
          <w:trHeight w:val="2126"/>
        </w:trPr>
        <w:tc>
          <w:tcPr>
            <w:tcW w:w="1488" w:type="dxa"/>
            <w:shd w:val="clear" w:color="000000" w:fill="FFFFFF"/>
            <w:hideMark/>
          </w:tcPr>
          <w:p w14:paraId="2E8E1684" w14:textId="742B4FCD" w:rsidR="00AA74F3" w:rsidRPr="005B1D20" w:rsidRDefault="00AA74F3" w:rsidP="00AA74F3">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R00</w:t>
            </w:r>
            <w:r w:rsidR="004F5310">
              <w:rPr>
                <w:rFonts w:ascii="Times New Roman" w:eastAsia="Times New Roman" w:hAnsi="Times New Roman" w:cs="Times New Roman"/>
                <w:sz w:val="20"/>
                <w:szCs w:val="20"/>
                <w:lang w:val="en-GB" w:eastAsia="es-ES"/>
              </w:rPr>
              <w:t>1</w:t>
            </w:r>
            <w:r w:rsidRPr="005B1D20">
              <w:rPr>
                <w:rFonts w:ascii="Times New Roman" w:eastAsia="Times New Roman" w:hAnsi="Times New Roman" w:cs="Times New Roman"/>
                <w:sz w:val="20"/>
                <w:szCs w:val="20"/>
                <w:lang w:val="en-GB" w:eastAsia="es-ES"/>
              </w:rPr>
              <w:t>0-R00</w:t>
            </w:r>
            <w:r w:rsidR="004F5310">
              <w:rPr>
                <w:rFonts w:ascii="Times New Roman" w:eastAsia="Times New Roman" w:hAnsi="Times New Roman" w:cs="Times New Roman"/>
                <w:sz w:val="20"/>
                <w:szCs w:val="20"/>
                <w:lang w:val="en-GB" w:eastAsia="es-ES"/>
              </w:rPr>
              <w:t>5</w:t>
            </w:r>
            <w:r w:rsidRPr="005B1D20">
              <w:rPr>
                <w:rFonts w:ascii="Times New Roman" w:eastAsia="Times New Roman" w:hAnsi="Times New Roman" w:cs="Times New Roman"/>
                <w:sz w:val="20"/>
                <w:szCs w:val="20"/>
                <w:lang w:val="en-GB" w:eastAsia="es-ES"/>
              </w:rPr>
              <w:t>0/</w:t>
            </w:r>
          </w:p>
          <w:p w14:paraId="6A8E26B2" w14:textId="78AB6A6A" w:rsidR="00AA74F3" w:rsidRDefault="00AA74F3" w:rsidP="00AA74F3">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C0</w:t>
            </w:r>
            <w:r w:rsidR="005B0BCC">
              <w:rPr>
                <w:rFonts w:ascii="Times New Roman" w:eastAsia="Times New Roman" w:hAnsi="Times New Roman" w:cs="Times New Roman"/>
                <w:sz w:val="20"/>
                <w:szCs w:val="20"/>
                <w:lang w:val="en-GB" w:eastAsia="es-ES"/>
              </w:rPr>
              <w:t>11</w:t>
            </w:r>
            <w:r w:rsidRPr="005B1D20">
              <w:rPr>
                <w:rFonts w:ascii="Times New Roman" w:eastAsia="Times New Roman" w:hAnsi="Times New Roman" w:cs="Times New Roman"/>
                <w:sz w:val="20"/>
                <w:szCs w:val="20"/>
                <w:lang w:val="en-GB" w:eastAsia="es-ES"/>
              </w:rPr>
              <w:t>0</w:t>
            </w:r>
          </w:p>
          <w:p w14:paraId="511FE990" w14:textId="5B991D58" w:rsidR="0082482C" w:rsidRPr="005B1D20" w:rsidRDefault="0082482C" w:rsidP="00AA74F3">
            <w:pPr>
              <w:spacing w:after="0" w:line="240" w:lineRule="auto"/>
              <w:rPr>
                <w:rFonts w:ascii="Times New Roman" w:eastAsia="Times New Roman" w:hAnsi="Times New Roman" w:cs="Times New Roman"/>
                <w:sz w:val="20"/>
                <w:szCs w:val="20"/>
                <w:lang w:val="en-GB" w:eastAsia="es-ES"/>
              </w:rPr>
            </w:pPr>
          </w:p>
        </w:tc>
        <w:tc>
          <w:tcPr>
            <w:tcW w:w="2551" w:type="dxa"/>
            <w:shd w:val="clear" w:color="000000" w:fill="FFFFFF"/>
            <w:hideMark/>
          </w:tcPr>
          <w:p w14:paraId="50501A1F" w14:textId="121524CB" w:rsidR="00AA74F3" w:rsidRPr="005B1D20" w:rsidRDefault="00AA74F3" w:rsidP="00AA74F3">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 xml:space="preserve">Gross solvency capital  requirement </w:t>
            </w:r>
          </w:p>
        </w:tc>
        <w:tc>
          <w:tcPr>
            <w:tcW w:w="4605" w:type="dxa"/>
            <w:shd w:val="clear" w:color="000000" w:fill="FFFFFF"/>
            <w:hideMark/>
          </w:tcPr>
          <w:p w14:paraId="6A950ADF" w14:textId="07E85FE3" w:rsidR="004F5310" w:rsidRDefault="00AA74F3" w:rsidP="00AA74F3">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 xml:space="preserve">Amount of the gross capital charge for each risk module, as calculated using the standard formula. </w:t>
            </w:r>
          </w:p>
          <w:p w14:paraId="0974C899" w14:textId="77777777" w:rsidR="004F5310" w:rsidRDefault="004F5310" w:rsidP="00AA74F3">
            <w:pPr>
              <w:spacing w:after="0" w:line="240" w:lineRule="auto"/>
              <w:rPr>
                <w:rFonts w:ascii="Times New Roman" w:eastAsia="Times New Roman" w:hAnsi="Times New Roman" w:cs="Times New Roman"/>
                <w:sz w:val="20"/>
                <w:szCs w:val="20"/>
                <w:lang w:val="en-GB" w:eastAsia="es-ES"/>
              </w:rPr>
            </w:pPr>
          </w:p>
          <w:p w14:paraId="1D3283B0" w14:textId="77777777" w:rsidR="005B0BCC" w:rsidRDefault="005B0BCC" w:rsidP="005B0BCC">
            <w:pPr>
              <w:spacing w:after="0" w:line="240" w:lineRule="auto"/>
              <w:rPr>
                <w:rFonts w:ascii="Times New Roman" w:eastAsia="Times New Roman" w:hAnsi="Times New Roman" w:cs="Times New Roman"/>
                <w:sz w:val="20"/>
                <w:szCs w:val="20"/>
                <w:lang w:val="en-GB" w:eastAsia="es-ES"/>
              </w:rPr>
            </w:pPr>
            <w:r w:rsidRPr="0076512A">
              <w:rPr>
                <w:rFonts w:ascii="Times New Roman" w:eastAsia="Times New Roman" w:hAnsi="Times New Roman" w:cs="Times New Roman"/>
                <w:sz w:val="20"/>
                <w:szCs w:val="20"/>
                <w:lang w:val="en-GB" w:eastAsia="es-ES"/>
              </w:rPr>
              <w:t xml:space="preserve">The difference between the net and the gross SCR is the consideration of the future discretionary benefits according to article 205 of Delegated Regulation </w:t>
            </w:r>
            <w:r>
              <w:rPr>
                <w:rFonts w:ascii="Times New Roman" w:eastAsia="Times New Roman" w:hAnsi="Times New Roman" w:cs="Times New Roman"/>
                <w:sz w:val="20"/>
                <w:szCs w:val="20"/>
                <w:lang w:val="en-GB" w:eastAsia="es-ES"/>
              </w:rPr>
              <w:t xml:space="preserve">(EU) </w:t>
            </w:r>
            <w:r w:rsidRPr="0076512A">
              <w:rPr>
                <w:rFonts w:ascii="Times New Roman" w:eastAsia="Times New Roman" w:hAnsi="Times New Roman" w:cs="Times New Roman"/>
                <w:sz w:val="20"/>
                <w:szCs w:val="20"/>
                <w:lang w:val="en-GB" w:eastAsia="es-ES"/>
              </w:rPr>
              <w:t>2015/35.</w:t>
            </w:r>
            <w:r w:rsidRPr="00AE1434">
              <w:rPr>
                <w:rFonts w:ascii="Times New Roman" w:eastAsia="Times New Roman" w:hAnsi="Times New Roman" w:cs="Times New Roman"/>
                <w:sz w:val="20"/>
                <w:szCs w:val="20"/>
                <w:lang w:val="en-GB" w:eastAsia="es-ES"/>
              </w:rPr>
              <w:t xml:space="preserve"> </w:t>
            </w:r>
          </w:p>
          <w:p w14:paraId="2D868895" w14:textId="77777777" w:rsidR="005B0BCC" w:rsidRDefault="005B0BCC" w:rsidP="00AA74F3">
            <w:pPr>
              <w:spacing w:after="0" w:line="240" w:lineRule="auto"/>
              <w:rPr>
                <w:rFonts w:ascii="Times New Roman" w:eastAsia="Times New Roman" w:hAnsi="Times New Roman" w:cs="Times New Roman"/>
                <w:sz w:val="20"/>
                <w:szCs w:val="20"/>
                <w:lang w:val="en-GB" w:eastAsia="es-ES"/>
              </w:rPr>
            </w:pPr>
          </w:p>
          <w:p w14:paraId="51AD9F08" w14:textId="4E7FDB6D" w:rsidR="00E17771" w:rsidRPr="005B1D20" w:rsidRDefault="00E17771" w:rsidP="00AA74F3">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This amount shall fully consider diversification effects according to article 304</w:t>
            </w:r>
            <w:r w:rsidR="004F5310" w:rsidRPr="004F5310">
              <w:rPr>
                <w:rFonts w:ascii="Times New Roman" w:eastAsia="Times New Roman" w:hAnsi="Times New Roman" w:cs="Times New Roman"/>
                <w:sz w:val="20"/>
                <w:szCs w:val="20"/>
                <w:lang w:val="en-GB" w:eastAsia="es-ES"/>
              </w:rPr>
              <w:t xml:space="preserve"> of Directive 2009/138/EC</w:t>
            </w:r>
            <w:r w:rsidR="009D3A26">
              <w:rPr>
                <w:rFonts w:ascii="Times New Roman" w:eastAsia="Times New Roman" w:hAnsi="Times New Roman" w:cs="Times New Roman"/>
                <w:sz w:val="20"/>
                <w:szCs w:val="20"/>
                <w:lang w:val="en-GB" w:eastAsia="es-ES"/>
              </w:rPr>
              <w:t xml:space="preserve"> where applicable</w:t>
            </w:r>
            <w:r w:rsidR="004F5310" w:rsidRPr="004F5310">
              <w:rPr>
                <w:rFonts w:ascii="Times New Roman" w:eastAsia="Times New Roman" w:hAnsi="Times New Roman" w:cs="Times New Roman"/>
                <w:sz w:val="20"/>
                <w:szCs w:val="20"/>
                <w:lang w:val="en-GB" w:eastAsia="es-ES"/>
              </w:rPr>
              <w:t>.</w:t>
            </w:r>
          </w:p>
          <w:p w14:paraId="0CBAD1EC" w14:textId="77777777" w:rsidR="00E17771" w:rsidRPr="005B1D20" w:rsidRDefault="00E17771" w:rsidP="00AA74F3">
            <w:pPr>
              <w:spacing w:after="0" w:line="240" w:lineRule="auto"/>
              <w:rPr>
                <w:rFonts w:ascii="Times New Roman" w:eastAsia="Times New Roman" w:hAnsi="Times New Roman" w:cs="Times New Roman"/>
                <w:sz w:val="20"/>
                <w:szCs w:val="20"/>
                <w:lang w:val="en-GB" w:eastAsia="es-ES"/>
              </w:rPr>
            </w:pPr>
          </w:p>
          <w:p w14:paraId="7CB37B5A" w14:textId="631E5114" w:rsidR="00AA74F3" w:rsidRDefault="004F5310" w:rsidP="00AA74F3">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These cells</w:t>
            </w:r>
            <w:r w:rsidR="006D1384" w:rsidRPr="005B1D20">
              <w:rPr>
                <w:rFonts w:ascii="Times New Roman" w:eastAsia="Times New Roman" w:hAnsi="Times New Roman" w:cs="Times New Roman"/>
                <w:sz w:val="20"/>
                <w:szCs w:val="20"/>
                <w:lang w:val="en-GB" w:eastAsia="es-ES"/>
              </w:rPr>
              <w:t xml:space="preserve"> </w:t>
            </w:r>
            <w:r w:rsidR="00AA74F3" w:rsidRPr="005B1D20">
              <w:rPr>
                <w:rFonts w:ascii="Times New Roman" w:eastAsia="Times New Roman" w:hAnsi="Times New Roman" w:cs="Times New Roman"/>
                <w:sz w:val="20"/>
                <w:szCs w:val="20"/>
                <w:lang w:val="en-GB" w:eastAsia="es-ES"/>
              </w:rPr>
              <w:t xml:space="preserve">include the allocation of the adjustment due to the aggregation of the nSCR of the RFF/MAP at entity level. </w:t>
            </w:r>
          </w:p>
          <w:p w14:paraId="7236DFDA" w14:textId="2993BE20" w:rsidR="00353A6C" w:rsidRPr="005B1D20" w:rsidRDefault="00353A6C" w:rsidP="00AA74F3">
            <w:pPr>
              <w:spacing w:after="0" w:line="240" w:lineRule="auto"/>
              <w:rPr>
                <w:rFonts w:ascii="Times New Roman" w:eastAsia="Times New Roman" w:hAnsi="Times New Roman" w:cs="Times New Roman"/>
                <w:sz w:val="20"/>
                <w:szCs w:val="20"/>
                <w:lang w:val="en-GB" w:eastAsia="es-ES"/>
              </w:rPr>
            </w:pPr>
          </w:p>
        </w:tc>
      </w:tr>
      <w:tr w:rsidR="00AA74F3" w:rsidRPr="002C529E" w14:paraId="3A320D9A" w14:textId="77777777" w:rsidTr="00EF0081">
        <w:trPr>
          <w:trHeight w:val="490"/>
        </w:trPr>
        <w:tc>
          <w:tcPr>
            <w:tcW w:w="1488" w:type="dxa"/>
            <w:shd w:val="clear" w:color="000000" w:fill="FFFFFF"/>
            <w:hideMark/>
          </w:tcPr>
          <w:p w14:paraId="7F49D430" w14:textId="310B524F" w:rsidR="00AA74F3" w:rsidRDefault="00AA74F3" w:rsidP="00AA74F3">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R00</w:t>
            </w:r>
            <w:r w:rsidR="0082482C">
              <w:rPr>
                <w:rFonts w:ascii="Times New Roman" w:eastAsia="Times New Roman" w:hAnsi="Times New Roman" w:cs="Times New Roman"/>
                <w:sz w:val="20"/>
                <w:szCs w:val="20"/>
                <w:lang w:val="en-GB" w:eastAsia="es-ES"/>
              </w:rPr>
              <w:t>6</w:t>
            </w:r>
            <w:r w:rsidRPr="005B1D20">
              <w:rPr>
                <w:rFonts w:ascii="Times New Roman" w:eastAsia="Times New Roman" w:hAnsi="Times New Roman" w:cs="Times New Roman"/>
                <w:sz w:val="20"/>
                <w:szCs w:val="20"/>
                <w:lang w:val="en-GB" w:eastAsia="es-ES"/>
              </w:rPr>
              <w:t>0/C0</w:t>
            </w:r>
            <w:r w:rsidR="005B0BCC">
              <w:rPr>
                <w:rFonts w:ascii="Times New Roman" w:eastAsia="Times New Roman" w:hAnsi="Times New Roman" w:cs="Times New Roman"/>
                <w:sz w:val="20"/>
                <w:szCs w:val="20"/>
                <w:lang w:val="en-GB" w:eastAsia="es-ES"/>
              </w:rPr>
              <w:t>11</w:t>
            </w:r>
            <w:r w:rsidRPr="005B1D20">
              <w:rPr>
                <w:rFonts w:ascii="Times New Roman" w:eastAsia="Times New Roman" w:hAnsi="Times New Roman" w:cs="Times New Roman"/>
                <w:sz w:val="20"/>
                <w:szCs w:val="20"/>
                <w:lang w:val="en-GB" w:eastAsia="es-ES"/>
              </w:rPr>
              <w:t>0</w:t>
            </w:r>
          </w:p>
          <w:p w14:paraId="46E26885" w14:textId="6DD7F06D" w:rsidR="0082482C" w:rsidRPr="005B1D20" w:rsidRDefault="0082482C" w:rsidP="00AA74F3">
            <w:pPr>
              <w:spacing w:after="0" w:line="240" w:lineRule="auto"/>
              <w:rPr>
                <w:rFonts w:ascii="Times New Roman" w:eastAsia="Times New Roman" w:hAnsi="Times New Roman" w:cs="Times New Roman"/>
                <w:sz w:val="20"/>
                <w:szCs w:val="20"/>
                <w:lang w:val="en-GB" w:eastAsia="es-ES"/>
              </w:rPr>
            </w:pPr>
          </w:p>
        </w:tc>
        <w:tc>
          <w:tcPr>
            <w:tcW w:w="2551" w:type="dxa"/>
            <w:shd w:val="clear" w:color="000000" w:fill="FFFFFF"/>
            <w:hideMark/>
          </w:tcPr>
          <w:p w14:paraId="76D0A3DC" w14:textId="10D1FF94" w:rsidR="00AA74F3" w:rsidRPr="005B1D20" w:rsidRDefault="00AA74F3" w:rsidP="00AA74F3">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Gross solvency capital requirement Diversification</w:t>
            </w:r>
          </w:p>
        </w:tc>
        <w:tc>
          <w:tcPr>
            <w:tcW w:w="4605" w:type="dxa"/>
            <w:shd w:val="clear" w:color="000000" w:fill="FFFFFF"/>
            <w:hideMark/>
          </w:tcPr>
          <w:p w14:paraId="3D2B1E31" w14:textId="0A241741" w:rsidR="00AA74F3" w:rsidRPr="005B1D20" w:rsidRDefault="00AA74F3" w:rsidP="00353A6C">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 xml:space="preserve">Amount of the diversification effects between Basic SCR </w:t>
            </w:r>
            <w:r w:rsidR="005B0BCC">
              <w:rPr>
                <w:rFonts w:ascii="Times New Roman" w:eastAsia="Times New Roman" w:hAnsi="Times New Roman" w:cs="Times New Roman"/>
                <w:sz w:val="20"/>
                <w:szCs w:val="20"/>
                <w:lang w:val="en-GB" w:eastAsia="es-ES"/>
              </w:rPr>
              <w:t xml:space="preserve">of </w:t>
            </w:r>
            <w:r w:rsidRPr="005B1D20">
              <w:rPr>
                <w:rFonts w:ascii="Times New Roman" w:eastAsia="Times New Roman" w:hAnsi="Times New Roman" w:cs="Times New Roman"/>
                <w:sz w:val="20"/>
                <w:szCs w:val="20"/>
                <w:lang w:val="en-GB" w:eastAsia="es-ES"/>
              </w:rPr>
              <w:t xml:space="preserve">gross </w:t>
            </w:r>
            <w:r w:rsidR="005B0BCC">
              <w:rPr>
                <w:rFonts w:ascii="Times New Roman" w:eastAsia="Times New Roman" w:hAnsi="Times New Roman" w:cs="Times New Roman"/>
                <w:sz w:val="20"/>
                <w:szCs w:val="20"/>
                <w:lang w:val="en-GB" w:eastAsia="es-ES"/>
              </w:rPr>
              <w:t xml:space="preserve">risk modules due to the application of the correlation matrix defined in Annex IV of </w:t>
            </w:r>
            <w:r w:rsidR="005B0BCC" w:rsidRPr="00AE1434">
              <w:rPr>
                <w:rFonts w:ascii="Times New Roman" w:eastAsia="Times New Roman" w:hAnsi="Times New Roman" w:cs="Times New Roman"/>
                <w:sz w:val="20"/>
                <w:szCs w:val="20"/>
                <w:lang w:val="en-GB" w:eastAsia="es-ES"/>
              </w:rPr>
              <w:t>Directive 2009/138/EC</w:t>
            </w:r>
            <w:r w:rsidR="0082482C" w:rsidRPr="00EF0081">
              <w:rPr>
                <w:rFonts w:ascii="Times New Roman" w:eastAsia="Times New Roman" w:hAnsi="Times New Roman" w:cs="Times New Roman"/>
                <w:sz w:val="20"/>
                <w:szCs w:val="20"/>
                <w:lang w:val="en-GB" w:eastAsia="es-ES"/>
              </w:rPr>
              <w:t>.</w:t>
            </w:r>
          </w:p>
        </w:tc>
      </w:tr>
      <w:tr w:rsidR="00AA74F3" w:rsidRPr="002C529E" w14:paraId="081F1248" w14:textId="77777777" w:rsidTr="00EF0081">
        <w:trPr>
          <w:trHeight w:val="708"/>
        </w:trPr>
        <w:tc>
          <w:tcPr>
            <w:tcW w:w="1488" w:type="dxa"/>
            <w:shd w:val="clear" w:color="000000" w:fill="FFFFFF"/>
            <w:hideMark/>
          </w:tcPr>
          <w:p w14:paraId="49A363A9" w14:textId="40630032" w:rsidR="00AA74F3" w:rsidRDefault="00AA74F3" w:rsidP="00AA74F3">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R00</w:t>
            </w:r>
            <w:r w:rsidR="0082482C">
              <w:rPr>
                <w:rFonts w:ascii="Times New Roman" w:eastAsia="Times New Roman" w:hAnsi="Times New Roman" w:cs="Times New Roman"/>
                <w:sz w:val="20"/>
                <w:szCs w:val="20"/>
                <w:lang w:val="en-GB" w:eastAsia="es-ES"/>
              </w:rPr>
              <w:t>7</w:t>
            </w:r>
            <w:r w:rsidRPr="005B1D20">
              <w:rPr>
                <w:rFonts w:ascii="Times New Roman" w:eastAsia="Times New Roman" w:hAnsi="Times New Roman" w:cs="Times New Roman"/>
                <w:sz w:val="20"/>
                <w:szCs w:val="20"/>
                <w:lang w:val="en-GB" w:eastAsia="es-ES"/>
              </w:rPr>
              <w:t>0/C0</w:t>
            </w:r>
            <w:r w:rsidR="005B0BCC">
              <w:rPr>
                <w:rFonts w:ascii="Times New Roman" w:eastAsia="Times New Roman" w:hAnsi="Times New Roman" w:cs="Times New Roman"/>
                <w:sz w:val="20"/>
                <w:szCs w:val="20"/>
                <w:lang w:val="en-GB" w:eastAsia="es-ES"/>
              </w:rPr>
              <w:t>11</w:t>
            </w:r>
            <w:r w:rsidRPr="005B1D20">
              <w:rPr>
                <w:rFonts w:ascii="Times New Roman" w:eastAsia="Times New Roman" w:hAnsi="Times New Roman" w:cs="Times New Roman"/>
                <w:sz w:val="20"/>
                <w:szCs w:val="20"/>
                <w:lang w:val="en-GB" w:eastAsia="es-ES"/>
              </w:rPr>
              <w:t>0</w:t>
            </w:r>
          </w:p>
          <w:p w14:paraId="61233629" w14:textId="374575BD" w:rsidR="0082482C" w:rsidRPr="005B1D20" w:rsidRDefault="0082482C" w:rsidP="00AA74F3">
            <w:pPr>
              <w:spacing w:after="0" w:line="240" w:lineRule="auto"/>
              <w:rPr>
                <w:rFonts w:ascii="Times New Roman" w:eastAsia="Times New Roman" w:hAnsi="Times New Roman" w:cs="Times New Roman"/>
                <w:sz w:val="20"/>
                <w:szCs w:val="20"/>
                <w:lang w:val="en-GB" w:eastAsia="es-ES"/>
              </w:rPr>
            </w:pPr>
          </w:p>
        </w:tc>
        <w:tc>
          <w:tcPr>
            <w:tcW w:w="2551" w:type="dxa"/>
            <w:shd w:val="clear" w:color="000000" w:fill="FFFFFF"/>
            <w:hideMark/>
          </w:tcPr>
          <w:p w14:paraId="1EE1B9A9" w14:textId="04422BD4" w:rsidR="00AA74F3" w:rsidRPr="005B1D20" w:rsidRDefault="00AA74F3" w:rsidP="00AA74F3">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Gross solvency capital requirement Intangible assets risk</w:t>
            </w:r>
          </w:p>
        </w:tc>
        <w:tc>
          <w:tcPr>
            <w:tcW w:w="4605" w:type="dxa"/>
            <w:shd w:val="clear" w:color="000000" w:fill="FFFFFF"/>
            <w:hideMark/>
          </w:tcPr>
          <w:p w14:paraId="481A5444" w14:textId="09D8C7D6" w:rsidR="00AA74F3" w:rsidRPr="009575C9" w:rsidRDefault="00AA74F3">
            <w:pPr>
              <w:spacing w:after="0" w:line="240" w:lineRule="auto"/>
              <w:rPr>
                <w:rFonts w:ascii="Times New Roman" w:eastAsia="Times New Roman" w:hAnsi="Times New Roman" w:cs="Times New Roman"/>
                <w:sz w:val="20"/>
                <w:szCs w:val="20"/>
                <w:lang w:val="en-GB" w:eastAsia="es-ES"/>
              </w:rPr>
            </w:pPr>
            <w:r w:rsidRPr="009575C9">
              <w:rPr>
                <w:rFonts w:ascii="Times New Roman" w:eastAsia="Times New Roman" w:hAnsi="Times New Roman" w:cs="Times New Roman"/>
                <w:sz w:val="20"/>
                <w:szCs w:val="20"/>
                <w:lang w:val="en-GB" w:eastAsia="es-ES"/>
              </w:rPr>
              <w:t xml:space="preserve">The future discretionary benefits according to article 205 of the </w:t>
            </w:r>
            <w:r w:rsidR="005B0BCC">
              <w:rPr>
                <w:rFonts w:ascii="Times New Roman" w:eastAsia="Times New Roman" w:hAnsi="Times New Roman" w:cs="Times New Roman"/>
                <w:sz w:val="20"/>
                <w:szCs w:val="20"/>
                <w:lang w:val="en-GB" w:eastAsia="es-ES"/>
              </w:rPr>
              <w:t xml:space="preserve">Delegated Regulation (EU) 2015/35 </w:t>
            </w:r>
            <w:r w:rsidRPr="009575C9">
              <w:rPr>
                <w:rFonts w:ascii="Times New Roman" w:eastAsia="Times New Roman" w:hAnsi="Times New Roman" w:cs="Times New Roman"/>
                <w:sz w:val="20"/>
                <w:szCs w:val="20"/>
                <w:lang w:val="en-GB" w:eastAsia="es-ES"/>
              </w:rPr>
              <w:t>for intangible assets risk is zero under standard formula</w:t>
            </w:r>
            <w:r w:rsidR="0082482C" w:rsidRPr="009575C9">
              <w:rPr>
                <w:rFonts w:ascii="Times New Roman" w:eastAsia="Times New Roman" w:hAnsi="Times New Roman" w:cs="Times New Roman"/>
                <w:sz w:val="20"/>
                <w:szCs w:val="20"/>
                <w:lang w:val="en-GB" w:eastAsia="es-ES"/>
              </w:rPr>
              <w:t>.</w:t>
            </w:r>
          </w:p>
          <w:p w14:paraId="549C380C" w14:textId="468A70E8" w:rsidR="0082482C" w:rsidRPr="009575C9" w:rsidRDefault="0082482C">
            <w:pPr>
              <w:spacing w:after="0" w:line="240" w:lineRule="auto"/>
              <w:rPr>
                <w:rFonts w:ascii="Times New Roman" w:eastAsia="Times New Roman" w:hAnsi="Times New Roman" w:cs="Times New Roman"/>
                <w:sz w:val="20"/>
                <w:szCs w:val="20"/>
                <w:lang w:val="en-GB" w:eastAsia="es-ES"/>
              </w:rPr>
            </w:pPr>
          </w:p>
        </w:tc>
      </w:tr>
      <w:tr w:rsidR="00AA74F3" w:rsidRPr="002C529E" w14:paraId="6F7DFDA8" w14:textId="77777777" w:rsidTr="00261179">
        <w:trPr>
          <w:trHeight w:val="346"/>
        </w:trPr>
        <w:tc>
          <w:tcPr>
            <w:tcW w:w="1488" w:type="dxa"/>
            <w:shd w:val="clear" w:color="000000" w:fill="FFFFFF"/>
            <w:hideMark/>
          </w:tcPr>
          <w:p w14:paraId="4B06C37B" w14:textId="59F252E5" w:rsidR="00AA74F3" w:rsidRDefault="00AA74F3" w:rsidP="00AA74F3">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R0</w:t>
            </w:r>
            <w:r w:rsidR="0082482C">
              <w:rPr>
                <w:rFonts w:ascii="Times New Roman" w:eastAsia="Times New Roman" w:hAnsi="Times New Roman" w:cs="Times New Roman"/>
                <w:sz w:val="20"/>
                <w:szCs w:val="20"/>
                <w:lang w:val="en-GB" w:eastAsia="es-ES"/>
              </w:rPr>
              <w:t>10</w:t>
            </w:r>
            <w:r w:rsidRPr="005B1D20">
              <w:rPr>
                <w:rFonts w:ascii="Times New Roman" w:eastAsia="Times New Roman" w:hAnsi="Times New Roman" w:cs="Times New Roman"/>
                <w:sz w:val="20"/>
                <w:szCs w:val="20"/>
                <w:lang w:val="en-GB" w:eastAsia="es-ES"/>
              </w:rPr>
              <w:t>0/C0</w:t>
            </w:r>
            <w:r w:rsidR="005B0BCC">
              <w:rPr>
                <w:rFonts w:ascii="Times New Roman" w:eastAsia="Times New Roman" w:hAnsi="Times New Roman" w:cs="Times New Roman"/>
                <w:sz w:val="20"/>
                <w:szCs w:val="20"/>
                <w:lang w:val="en-GB" w:eastAsia="es-ES"/>
              </w:rPr>
              <w:t>11</w:t>
            </w:r>
            <w:r w:rsidRPr="005B1D20">
              <w:rPr>
                <w:rFonts w:ascii="Times New Roman" w:eastAsia="Times New Roman" w:hAnsi="Times New Roman" w:cs="Times New Roman"/>
                <w:sz w:val="20"/>
                <w:szCs w:val="20"/>
                <w:lang w:val="en-GB" w:eastAsia="es-ES"/>
              </w:rPr>
              <w:t>0</w:t>
            </w:r>
          </w:p>
          <w:p w14:paraId="703ECECB" w14:textId="7DBEC1AB" w:rsidR="0082482C" w:rsidRPr="005B1D20" w:rsidRDefault="0082482C" w:rsidP="00AA74F3">
            <w:pPr>
              <w:spacing w:after="0" w:line="240" w:lineRule="auto"/>
              <w:rPr>
                <w:rFonts w:ascii="Times New Roman" w:eastAsia="Times New Roman" w:hAnsi="Times New Roman" w:cs="Times New Roman"/>
                <w:sz w:val="20"/>
                <w:szCs w:val="20"/>
                <w:lang w:val="en-GB" w:eastAsia="es-ES"/>
              </w:rPr>
            </w:pPr>
          </w:p>
        </w:tc>
        <w:tc>
          <w:tcPr>
            <w:tcW w:w="2551" w:type="dxa"/>
            <w:shd w:val="clear" w:color="000000" w:fill="FFFFFF"/>
            <w:hideMark/>
          </w:tcPr>
          <w:p w14:paraId="34902C12" w14:textId="0B7AD46C" w:rsidR="00AA74F3" w:rsidRPr="005B1D20" w:rsidRDefault="00AA74F3" w:rsidP="00AA74F3">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Gross solvency capital requirement - Basic Solvency Capital Requirement</w:t>
            </w:r>
          </w:p>
        </w:tc>
        <w:tc>
          <w:tcPr>
            <w:tcW w:w="4605" w:type="dxa"/>
            <w:shd w:val="clear" w:color="000000" w:fill="FFFFFF"/>
            <w:hideMark/>
          </w:tcPr>
          <w:p w14:paraId="0897B475" w14:textId="760A4200" w:rsidR="00AA74F3" w:rsidRPr="009575C9" w:rsidRDefault="00AA74F3" w:rsidP="00AA74F3">
            <w:pPr>
              <w:spacing w:after="0" w:line="240" w:lineRule="auto"/>
              <w:rPr>
                <w:rFonts w:ascii="Times New Roman" w:eastAsia="Times New Roman" w:hAnsi="Times New Roman" w:cs="Times New Roman"/>
                <w:sz w:val="20"/>
                <w:szCs w:val="20"/>
                <w:lang w:val="en-GB" w:eastAsia="es-ES"/>
              </w:rPr>
            </w:pPr>
            <w:r w:rsidRPr="009575C9">
              <w:rPr>
                <w:rFonts w:ascii="Times New Roman" w:eastAsia="Times New Roman" w:hAnsi="Times New Roman" w:cs="Times New Roman"/>
                <w:sz w:val="20"/>
                <w:szCs w:val="20"/>
                <w:lang w:val="en-GB" w:eastAsia="es-ES"/>
              </w:rPr>
              <w:t>Amount of the basic capital requirements</w:t>
            </w:r>
            <w:proofErr w:type="gramStart"/>
            <w:r w:rsidRPr="009575C9">
              <w:rPr>
                <w:rFonts w:ascii="Times New Roman" w:eastAsia="Times New Roman" w:hAnsi="Times New Roman" w:cs="Times New Roman"/>
                <w:sz w:val="20"/>
                <w:szCs w:val="20"/>
                <w:lang w:val="en-GB" w:eastAsia="es-ES"/>
              </w:rPr>
              <w:t>,  before</w:t>
            </w:r>
            <w:proofErr w:type="gramEnd"/>
            <w:r w:rsidRPr="009575C9">
              <w:rPr>
                <w:rFonts w:ascii="Times New Roman" w:eastAsia="Times New Roman" w:hAnsi="Times New Roman" w:cs="Times New Roman"/>
                <w:sz w:val="20"/>
                <w:szCs w:val="20"/>
                <w:lang w:val="en-GB" w:eastAsia="es-ES"/>
              </w:rPr>
              <w:t xml:space="preserve"> the consideration of future discretionary benefits according to article 205 of </w:t>
            </w:r>
            <w:r w:rsidR="005B0BCC">
              <w:rPr>
                <w:rFonts w:ascii="Times New Roman" w:eastAsia="Times New Roman" w:hAnsi="Times New Roman" w:cs="Times New Roman"/>
                <w:sz w:val="20"/>
                <w:szCs w:val="20"/>
                <w:lang w:val="en-GB" w:eastAsia="es-ES"/>
              </w:rPr>
              <w:t>Delegated Regulation (EU) 2015/35</w:t>
            </w:r>
            <w:r w:rsidRPr="009575C9">
              <w:rPr>
                <w:rFonts w:ascii="Times New Roman" w:eastAsia="Times New Roman" w:hAnsi="Times New Roman" w:cs="Times New Roman"/>
                <w:sz w:val="20"/>
                <w:szCs w:val="20"/>
                <w:lang w:val="en-GB" w:eastAsia="es-ES"/>
              </w:rPr>
              <w:t xml:space="preserve">, as calculated using the standard formula. </w:t>
            </w:r>
          </w:p>
          <w:p w14:paraId="19F77ECA" w14:textId="3EF2AD9E" w:rsidR="00AA74F3" w:rsidRPr="009575C9" w:rsidRDefault="00AA74F3" w:rsidP="00AA74F3">
            <w:pPr>
              <w:spacing w:after="0" w:line="240" w:lineRule="auto"/>
              <w:rPr>
                <w:rFonts w:ascii="Times New Roman" w:eastAsia="Times New Roman" w:hAnsi="Times New Roman" w:cs="Times New Roman"/>
                <w:sz w:val="20"/>
                <w:szCs w:val="20"/>
                <w:lang w:val="en-GB" w:eastAsia="es-ES"/>
              </w:rPr>
            </w:pPr>
            <w:r w:rsidRPr="009575C9">
              <w:rPr>
                <w:rFonts w:ascii="Times New Roman" w:eastAsia="Times New Roman" w:hAnsi="Times New Roman" w:cs="Times New Roman"/>
                <w:sz w:val="20"/>
                <w:szCs w:val="20"/>
                <w:lang w:val="en-GB" w:eastAsia="es-ES"/>
              </w:rPr>
              <w:t xml:space="preserve"> </w:t>
            </w:r>
          </w:p>
          <w:p w14:paraId="6B3D0CB4" w14:textId="0137F3B4" w:rsidR="00E50D5F" w:rsidRPr="009575C9" w:rsidRDefault="00E50D5F" w:rsidP="00AA74F3">
            <w:pPr>
              <w:spacing w:after="0" w:line="240" w:lineRule="auto"/>
              <w:rPr>
                <w:rFonts w:ascii="Times New Roman" w:eastAsia="Times New Roman" w:hAnsi="Times New Roman" w:cs="Times New Roman"/>
                <w:sz w:val="20"/>
                <w:szCs w:val="20"/>
                <w:lang w:val="en-GB" w:eastAsia="es-ES"/>
              </w:rPr>
            </w:pPr>
            <w:r w:rsidRPr="009575C9">
              <w:rPr>
                <w:rFonts w:ascii="Times New Roman" w:eastAsia="Times New Roman" w:hAnsi="Times New Roman" w:cs="Times New Roman"/>
                <w:sz w:val="20"/>
                <w:szCs w:val="20"/>
                <w:lang w:val="en-GB" w:eastAsia="es-ES"/>
              </w:rPr>
              <w:t>This amount shall fully consider diversification effects according to article 304</w:t>
            </w:r>
            <w:r w:rsidR="0082482C" w:rsidRPr="009575C9">
              <w:rPr>
                <w:rFonts w:ascii="Times New Roman" w:eastAsia="Times New Roman" w:hAnsi="Times New Roman" w:cs="Times New Roman"/>
                <w:sz w:val="20"/>
                <w:szCs w:val="20"/>
                <w:lang w:val="en-GB" w:eastAsia="es-ES"/>
              </w:rPr>
              <w:t xml:space="preserve"> of Directive 2009/138/EC.</w:t>
            </w:r>
          </w:p>
          <w:p w14:paraId="201D537F" w14:textId="77777777" w:rsidR="00E50D5F" w:rsidRPr="009575C9" w:rsidRDefault="00E50D5F" w:rsidP="00AA74F3">
            <w:pPr>
              <w:spacing w:after="0" w:line="240" w:lineRule="auto"/>
              <w:rPr>
                <w:rFonts w:ascii="Times New Roman" w:eastAsia="Times New Roman" w:hAnsi="Times New Roman" w:cs="Times New Roman"/>
                <w:sz w:val="20"/>
                <w:szCs w:val="20"/>
                <w:lang w:val="en-GB" w:eastAsia="es-ES"/>
              </w:rPr>
            </w:pPr>
          </w:p>
          <w:p w14:paraId="75AD36F2" w14:textId="3C8D88B6" w:rsidR="00AA74F3" w:rsidRPr="009575C9" w:rsidRDefault="00AA74F3" w:rsidP="00AA74F3">
            <w:pPr>
              <w:spacing w:after="0" w:line="240" w:lineRule="auto"/>
              <w:rPr>
                <w:rFonts w:ascii="Times New Roman" w:eastAsia="Times New Roman" w:hAnsi="Times New Roman" w:cs="Times New Roman"/>
                <w:sz w:val="20"/>
                <w:szCs w:val="20"/>
                <w:lang w:val="en-GB" w:eastAsia="es-ES"/>
              </w:rPr>
            </w:pPr>
            <w:r w:rsidRPr="009575C9">
              <w:rPr>
                <w:rFonts w:ascii="Times New Roman" w:eastAsia="Times New Roman" w:hAnsi="Times New Roman" w:cs="Times New Roman"/>
                <w:sz w:val="20"/>
                <w:szCs w:val="20"/>
                <w:lang w:val="en-GB" w:eastAsia="es-ES"/>
              </w:rPr>
              <w:t>This cell include</w:t>
            </w:r>
            <w:r w:rsidR="005A00B9" w:rsidRPr="009575C9">
              <w:rPr>
                <w:rFonts w:ascii="Times New Roman" w:eastAsia="Times New Roman" w:hAnsi="Times New Roman" w:cs="Times New Roman"/>
                <w:sz w:val="20"/>
                <w:szCs w:val="20"/>
                <w:lang w:val="en-GB" w:eastAsia="es-ES"/>
              </w:rPr>
              <w:t>s</w:t>
            </w:r>
            <w:r w:rsidRPr="009575C9">
              <w:rPr>
                <w:rFonts w:ascii="Times New Roman" w:eastAsia="Times New Roman" w:hAnsi="Times New Roman" w:cs="Times New Roman"/>
                <w:sz w:val="20"/>
                <w:szCs w:val="20"/>
                <w:lang w:val="en-GB" w:eastAsia="es-ES"/>
              </w:rPr>
              <w:t xml:space="preserve"> the allocation of the adjustment due to the aggregation of the nSCR of the RFF/MAP at entity level. </w:t>
            </w:r>
          </w:p>
          <w:p w14:paraId="6403825E" w14:textId="77777777" w:rsidR="00AA74F3" w:rsidRPr="009575C9" w:rsidRDefault="00AA74F3" w:rsidP="00AA74F3">
            <w:pPr>
              <w:spacing w:after="0" w:line="240" w:lineRule="auto"/>
              <w:rPr>
                <w:rFonts w:ascii="Times New Roman" w:eastAsia="Times New Roman" w:hAnsi="Times New Roman" w:cs="Times New Roman"/>
                <w:sz w:val="20"/>
                <w:szCs w:val="20"/>
                <w:lang w:val="en-GB" w:eastAsia="es-ES"/>
              </w:rPr>
            </w:pPr>
          </w:p>
          <w:p w14:paraId="0859938B" w14:textId="1C2F484E" w:rsidR="00AA74F3" w:rsidRPr="009575C9" w:rsidRDefault="00AA74F3">
            <w:pPr>
              <w:spacing w:after="0" w:line="240" w:lineRule="auto"/>
              <w:rPr>
                <w:rFonts w:ascii="Times New Roman" w:eastAsia="Times New Roman" w:hAnsi="Times New Roman" w:cs="Times New Roman"/>
                <w:sz w:val="20"/>
                <w:szCs w:val="20"/>
                <w:lang w:val="en-GB" w:eastAsia="es-ES"/>
              </w:rPr>
            </w:pPr>
            <w:r w:rsidRPr="009575C9">
              <w:rPr>
                <w:rFonts w:ascii="Times New Roman" w:eastAsia="Times New Roman" w:hAnsi="Times New Roman" w:cs="Times New Roman"/>
                <w:sz w:val="20"/>
                <w:szCs w:val="20"/>
                <w:lang w:val="en-GB" w:eastAsia="es-ES"/>
              </w:rPr>
              <w:t xml:space="preserve">This amount shall be calculated as a sum of the gross capital charges for each risk module within the standard formula, including adjustment for </w:t>
            </w:r>
            <w:r w:rsidRPr="009575C9">
              <w:rPr>
                <w:rFonts w:ascii="Times New Roman" w:eastAsia="Times New Roman" w:hAnsi="Times New Roman" w:cs="Times New Roman"/>
                <w:sz w:val="20"/>
                <w:szCs w:val="20"/>
                <w:lang w:val="en-GB" w:eastAsia="es-ES"/>
              </w:rPr>
              <w:lastRenderedPageBreak/>
              <w:t>diversification effect within standard formula</w:t>
            </w:r>
          </w:p>
        </w:tc>
      </w:tr>
      <w:tr w:rsidR="005A00B9" w:rsidRPr="00EF0081" w14:paraId="092CB18E" w14:textId="77777777" w:rsidTr="00261179">
        <w:trPr>
          <w:trHeight w:val="1272"/>
        </w:trPr>
        <w:tc>
          <w:tcPr>
            <w:tcW w:w="1488" w:type="dxa"/>
            <w:shd w:val="clear" w:color="000000" w:fill="FFFFFF"/>
          </w:tcPr>
          <w:p w14:paraId="20B7467C" w14:textId="61CB22B9" w:rsidR="005A00B9" w:rsidRPr="005B1D20" w:rsidRDefault="005A00B9" w:rsidP="006421B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lastRenderedPageBreak/>
              <w:t>R0030/C0</w:t>
            </w:r>
            <w:r w:rsidR="006421B7">
              <w:rPr>
                <w:rFonts w:ascii="Times New Roman" w:eastAsia="Times New Roman" w:hAnsi="Times New Roman" w:cs="Times New Roman"/>
                <w:sz w:val="20"/>
                <w:szCs w:val="20"/>
                <w:lang w:val="en-GB" w:eastAsia="es-ES"/>
              </w:rPr>
              <w:t>08</w:t>
            </w:r>
            <w:r>
              <w:rPr>
                <w:rFonts w:ascii="Times New Roman" w:eastAsia="Times New Roman" w:hAnsi="Times New Roman" w:cs="Times New Roman"/>
                <w:sz w:val="20"/>
                <w:szCs w:val="20"/>
                <w:lang w:val="en-GB" w:eastAsia="es-ES"/>
              </w:rPr>
              <w:t>0</w:t>
            </w:r>
          </w:p>
        </w:tc>
        <w:tc>
          <w:tcPr>
            <w:tcW w:w="2551" w:type="dxa"/>
            <w:shd w:val="clear" w:color="000000" w:fill="FFFFFF"/>
          </w:tcPr>
          <w:p w14:paraId="3217D3AC" w14:textId="21582D76" w:rsidR="005A00B9" w:rsidRPr="00EF0081" w:rsidRDefault="005A00B9" w:rsidP="00AA74F3">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USP – Life underwriting risk</w:t>
            </w:r>
          </w:p>
        </w:tc>
        <w:tc>
          <w:tcPr>
            <w:tcW w:w="4605" w:type="dxa"/>
            <w:shd w:val="clear" w:color="000000" w:fill="FFFFFF"/>
          </w:tcPr>
          <w:p w14:paraId="4ED4CE26"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Identifies which undertaking specific parameters have been used in each risk module. One of the options on the following closed list should be used:</w:t>
            </w:r>
          </w:p>
          <w:p w14:paraId="54F5702E"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 Increase in the amount of annuity benefits</w:t>
            </w:r>
          </w:p>
          <w:p w14:paraId="5720320B" w14:textId="637A6D3D"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 None</w:t>
            </w:r>
          </w:p>
        </w:tc>
      </w:tr>
      <w:tr w:rsidR="005A00B9" w:rsidRPr="00EF0081" w14:paraId="3350EE79" w14:textId="77777777" w:rsidTr="00EF0081">
        <w:trPr>
          <w:trHeight w:val="2962"/>
        </w:trPr>
        <w:tc>
          <w:tcPr>
            <w:tcW w:w="1488" w:type="dxa"/>
            <w:shd w:val="clear" w:color="000000" w:fill="FFFFFF"/>
          </w:tcPr>
          <w:p w14:paraId="53923F53" w14:textId="48FFFA88" w:rsidR="005A00B9" w:rsidRPr="005B1D20" w:rsidRDefault="005A00B9" w:rsidP="006421B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R0040/C0</w:t>
            </w:r>
            <w:r w:rsidR="006421B7">
              <w:rPr>
                <w:rFonts w:ascii="Times New Roman" w:eastAsia="Times New Roman" w:hAnsi="Times New Roman" w:cs="Times New Roman"/>
                <w:sz w:val="20"/>
                <w:szCs w:val="20"/>
                <w:lang w:val="en-GB" w:eastAsia="es-ES"/>
              </w:rPr>
              <w:t>08</w:t>
            </w:r>
            <w:r>
              <w:rPr>
                <w:rFonts w:ascii="Times New Roman" w:eastAsia="Times New Roman" w:hAnsi="Times New Roman" w:cs="Times New Roman"/>
                <w:sz w:val="20"/>
                <w:szCs w:val="20"/>
                <w:lang w:val="en-GB" w:eastAsia="es-ES"/>
              </w:rPr>
              <w:t>0</w:t>
            </w:r>
          </w:p>
        </w:tc>
        <w:tc>
          <w:tcPr>
            <w:tcW w:w="2551" w:type="dxa"/>
            <w:shd w:val="clear" w:color="000000" w:fill="FFFFFF"/>
          </w:tcPr>
          <w:p w14:paraId="2C942606" w14:textId="074161CB" w:rsidR="005A00B9" w:rsidRPr="00EF0081" w:rsidRDefault="005A00B9" w:rsidP="00AA74F3">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USP – Health underwriting risk</w:t>
            </w:r>
          </w:p>
        </w:tc>
        <w:tc>
          <w:tcPr>
            <w:tcW w:w="4605" w:type="dxa"/>
            <w:shd w:val="clear" w:color="000000" w:fill="FFFFFF"/>
          </w:tcPr>
          <w:p w14:paraId="72514EF5"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Identifies which undertaking specific parameters have been used in each risk module. At least one of the options on the following closed list shall be used:</w:t>
            </w:r>
          </w:p>
          <w:p w14:paraId="344EFF45"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 Increase in the amount of annuity benefits</w:t>
            </w:r>
          </w:p>
          <w:p w14:paraId="55A3D40E"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 Standard deviation for NSLT health premium risk</w:t>
            </w:r>
          </w:p>
          <w:p w14:paraId="090AFCB3"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 Standard deviation for NSLT health gross premium risk</w:t>
            </w:r>
          </w:p>
          <w:p w14:paraId="058D09D1"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 Adjustment factor for non-proportional reinsurance</w:t>
            </w:r>
          </w:p>
          <w:p w14:paraId="0EBE3F8A"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 Standard deviation for NSLT health reserve risk</w:t>
            </w:r>
          </w:p>
          <w:p w14:paraId="339855D8"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 None</w:t>
            </w:r>
          </w:p>
          <w:p w14:paraId="4A8389F9" w14:textId="76220899"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If more than one specific parameter is used, report them separated by comas.</w:t>
            </w:r>
          </w:p>
        </w:tc>
      </w:tr>
      <w:tr w:rsidR="005A00B9" w:rsidRPr="00EF0081" w14:paraId="3310ACD5" w14:textId="77777777" w:rsidTr="00EF0081">
        <w:trPr>
          <w:trHeight w:val="2125"/>
        </w:trPr>
        <w:tc>
          <w:tcPr>
            <w:tcW w:w="1488" w:type="dxa"/>
            <w:shd w:val="clear" w:color="000000" w:fill="FFFFFF"/>
          </w:tcPr>
          <w:p w14:paraId="2BE48FCD" w14:textId="1F3B1FC1" w:rsidR="005A00B9" w:rsidRPr="005B1D20" w:rsidRDefault="005A00B9" w:rsidP="006421B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R0050/C0</w:t>
            </w:r>
            <w:r w:rsidR="006421B7">
              <w:rPr>
                <w:rFonts w:ascii="Times New Roman" w:eastAsia="Times New Roman" w:hAnsi="Times New Roman" w:cs="Times New Roman"/>
                <w:sz w:val="20"/>
                <w:szCs w:val="20"/>
                <w:lang w:val="en-GB" w:eastAsia="es-ES"/>
              </w:rPr>
              <w:t>08</w:t>
            </w:r>
            <w:r>
              <w:rPr>
                <w:rFonts w:ascii="Times New Roman" w:eastAsia="Times New Roman" w:hAnsi="Times New Roman" w:cs="Times New Roman"/>
                <w:sz w:val="20"/>
                <w:szCs w:val="20"/>
                <w:lang w:val="en-GB" w:eastAsia="es-ES"/>
              </w:rPr>
              <w:t>0</w:t>
            </w:r>
          </w:p>
        </w:tc>
        <w:tc>
          <w:tcPr>
            <w:tcW w:w="2551" w:type="dxa"/>
            <w:shd w:val="clear" w:color="000000" w:fill="FFFFFF"/>
          </w:tcPr>
          <w:p w14:paraId="7A6D6F48" w14:textId="5A919021" w:rsidR="005A00B9" w:rsidRPr="00EF0081" w:rsidRDefault="005A00B9" w:rsidP="00AA74F3">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USP – Non life underwriting risk</w:t>
            </w:r>
          </w:p>
        </w:tc>
        <w:tc>
          <w:tcPr>
            <w:tcW w:w="4605" w:type="dxa"/>
            <w:shd w:val="clear" w:color="000000" w:fill="FFFFFF"/>
          </w:tcPr>
          <w:p w14:paraId="1D532306"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Identifies which undertaking specific parameters have been used in each risk module. At least one of the options on the following closed list should be used:</w:t>
            </w:r>
          </w:p>
          <w:p w14:paraId="19735946"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 Standard deviation for non-life premium risk</w:t>
            </w:r>
          </w:p>
          <w:p w14:paraId="79349FD4"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 Standard deviation for non-life gross premium risk</w:t>
            </w:r>
          </w:p>
          <w:p w14:paraId="72E47A34"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 Adjustment factor for non-proportional reinsurance</w:t>
            </w:r>
          </w:p>
          <w:p w14:paraId="42311633"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 Standard deviation for non-life reserve risk</w:t>
            </w:r>
          </w:p>
          <w:p w14:paraId="535305C1" w14:textId="7E75C97A"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 None</w:t>
            </w:r>
          </w:p>
        </w:tc>
      </w:tr>
      <w:tr w:rsidR="005A00B9" w:rsidRPr="00EF0081" w14:paraId="3976AB18" w14:textId="77777777" w:rsidTr="00261179">
        <w:trPr>
          <w:trHeight w:val="1250"/>
        </w:trPr>
        <w:tc>
          <w:tcPr>
            <w:tcW w:w="1488" w:type="dxa"/>
            <w:shd w:val="clear" w:color="000000" w:fill="FFFFFF"/>
          </w:tcPr>
          <w:p w14:paraId="27C73615" w14:textId="3A3DFB9E" w:rsidR="005A00B9" w:rsidRPr="005B1D20" w:rsidRDefault="005A00B9" w:rsidP="006421B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R0010, R0030, R0040, R0050/C0</w:t>
            </w:r>
            <w:r w:rsidR="006421B7">
              <w:rPr>
                <w:rFonts w:ascii="Times New Roman" w:eastAsia="Times New Roman" w:hAnsi="Times New Roman" w:cs="Times New Roman"/>
                <w:sz w:val="20"/>
                <w:szCs w:val="20"/>
                <w:lang w:val="en-GB" w:eastAsia="es-ES"/>
              </w:rPr>
              <w:t>09</w:t>
            </w:r>
            <w:r>
              <w:rPr>
                <w:rFonts w:ascii="Times New Roman" w:eastAsia="Times New Roman" w:hAnsi="Times New Roman" w:cs="Times New Roman"/>
                <w:sz w:val="20"/>
                <w:szCs w:val="20"/>
                <w:lang w:val="en-GB" w:eastAsia="es-ES"/>
              </w:rPr>
              <w:t>0</w:t>
            </w:r>
          </w:p>
        </w:tc>
        <w:tc>
          <w:tcPr>
            <w:tcW w:w="2551" w:type="dxa"/>
            <w:shd w:val="clear" w:color="000000" w:fill="FFFFFF"/>
          </w:tcPr>
          <w:p w14:paraId="2072815F" w14:textId="4030F308" w:rsidR="005A00B9" w:rsidRPr="005B1D20" w:rsidRDefault="005A00B9" w:rsidP="00AA74F3">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Simplifications</w:t>
            </w:r>
          </w:p>
        </w:tc>
        <w:tc>
          <w:tcPr>
            <w:tcW w:w="4605" w:type="dxa"/>
            <w:shd w:val="clear" w:color="000000" w:fill="FFFFFF"/>
          </w:tcPr>
          <w:p w14:paraId="30E85A7D" w14:textId="77777777" w:rsidR="005A00B9" w:rsidRPr="00EF0081" w:rsidRDefault="005A00B9" w:rsidP="00EF0081">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Identifies the risk sub-modules of each risk module for which a simplified calculation method has been used.</w:t>
            </w:r>
          </w:p>
          <w:p w14:paraId="63D9E6C3" w14:textId="4F58F315" w:rsidR="005A00B9" w:rsidRPr="005B1D20" w:rsidRDefault="005A00B9" w:rsidP="005A00B9">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If simplified calculation methods for more than one risk sub-module have been used within one risk module, report them separated by comas.</w:t>
            </w:r>
          </w:p>
        </w:tc>
      </w:tr>
      <w:tr w:rsidR="005A00B9" w:rsidRPr="00E93329" w14:paraId="62B56342" w14:textId="77777777" w:rsidTr="00261179">
        <w:trPr>
          <w:trHeight w:val="460"/>
        </w:trPr>
        <w:tc>
          <w:tcPr>
            <w:tcW w:w="8644" w:type="dxa"/>
            <w:gridSpan w:val="3"/>
            <w:shd w:val="clear" w:color="000000" w:fill="FFFFFF"/>
            <w:vAlign w:val="center"/>
          </w:tcPr>
          <w:p w14:paraId="098587BF" w14:textId="77777777" w:rsidR="005A00B9" w:rsidRPr="005B1D20" w:rsidRDefault="005A00B9" w:rsidP="00261179">
            <w:pPr>
              <w:spacing w:after="0" w:line="240" w:lineRule="auto"/>
              <w:rPr>
                <w:rFonts w:ascii="Times New Roman" w:eastAsia="Times New Roman" w:hAnsi="Times New Roman" w:cs="Times New Roman"/>
                <w:b/>
                <w:sz w:val="20"/>
                <w:szCs w:val="20"/>
                <w:lang w:val="en-GB" w:eastAsia="es-ES"/>
              </w:rPr>
            </w:pPr>
            <w:r w:rsidRPr="005B1D20">
              <w:rPr>
                <w:rFonts w:ascii="Times New Roman" w:eastAsia="Times New Roman" w:hAnsi="Times New Roman" w:cs="Times New Roman"/>
                <w:b/>
                <w:sz w:val="20"/>
                <w:szCs w:val="20"/>
                <w:lang w:val="en-GB" w:eastAsia="es-ES"/>
              </w:rPr>
              <w:t>Calculation of Solvency Capital Requirement</w:t>
            </w:r>
          </w:p>
        </w:tc>
      </w:tr>
      <w:tr w:rsidR="005A00B9" w:rsidRPr="002C529E" w14:paraId="3DDA94C5" w14:textId="77777777" w:rsidTr="00EF0081">
        <w:trPr>
          <w:trHeight w:val="855"/>
        </w:trPr>
        <w:tc>
          <w:tcPr>
            <w:tcW w:w="1488" w:type="dxa"/>
            <w:shd w:val="clear" w:color="000000" w:fill="FFFFFF"/>
          </w:tcPr>
          <w:p w14:paraId="7BC21CE0" w14:textId="6AC12FB6" w:rsidR="005A00B9" w:rsidRDefault="005A00B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R01</w:t>
            </w:r>
            <w:r>
              <w:rPr>
                <w:rFonts w:ascii="Times New Roman" w:eastAsia="Times New Roman" w:hAnsi="Times New Roman" w:cs="Times New Roman"/>
                <w:sz w:val="20"/>
                <w:szCs w:val="20"/>
                <w:lang w:val="en-GB" w:eastAsia="es-ES"/>
              </w:rPr>
              <w:t>3</w:t>
            </w:r>
            <w:r w:rsidRPr="005B1D20">
              <w:rPr>
                <w:rFonts w:ascii="Times New Roman" w:eastAsia="Times New Roman" w:hAnsi="Times New Roman" w:cs="Times New Roman"/>
                <w:sz w:val="20"/>
                <w:szCs w:val="20"/>
                <w:lang w:val="en-GB" w:eastAsia="es-ES"/>
              </w:rPr>
              <w:t>0/C0</w:t>
            </w:r>
            <w:r w:rsidR="006421B7">
              <w:rPr>
                <w:rFonts w:ascii="Times New Roman" w:eastAsia="Times New Roman" w:hAnsi="Times New Roman" w:cs="Times New Roman"/>
                <w:sz w:val="20"/>
                <w:szCs w:val="20"/>
                <w:lang w:val="en-GB" w:eastAsia="es-ES"/>
              </w:rPr>
              <w:t>1</w:t>
            </w:r>
            <w:r w:rsidRPr="005B1D20">
              <w:rPr>
                <w:rFonts w:ascii="Times New Roman" w:eastAsia="Times New Roman" w:hAnsi="Times New Roman" w:cs="Times New Roman"/>
                <w:sz w:val="20"/>
                <w:szCs w:val="20"/>
                <w:lang w:val="en-GB" w:eastAsia="es-ES"/>
              </w:rPr>
              <w:t>00</w:t>
            </w:r>
          </w:p>
          <w:p w14:paraId="626B8E20" w14:textId="0EB07800" w:rsidR="005A00B9" w:rsidRPr="005B1D20" w:rsidRDefault="005A00B9">
            <w:pPr>
              <w:spacing w:after="0" w:line="240" w:lineRule="auto"/>
              <w:rPr>
                <w:rFonts w:ascii="Times New Roman" w:eastAsia="Times New Roman" w:hAnsi="Times New Roman" w:cs="Times New Roman"/>
                <w:sz w:val="20"/>
                <w:szCs w:val="20"/>
                <w:lang w:val="en-GB" w:eastAsia="es-ES"/>
              </w:rPr>
            </w:pPr>
          </w:p>
        </w:tc>
        <w:tc>
          <w:tcPr>
            <w:tcW w:w="2551" w:type="dxa"/>
            <w:shd w:val="clear" w:color="000000" w:fill="FFFFFF"/>
          </w:tcPr>
          <w:p w14:paraId="53384A39" w14:textId="223C17EB" w:rsidR="005A00B9" w:rsidRPr="005B1D20" w:rsidRDefault="009D3A26" w:rsidP="009D3A26">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O</w:t>
            </w:r>
            <w:r w:rsidR="005A00B9" w:rsidRPr="005B1D20">
              <w:rPr>
                <w:rFonts w:ascii="Times New Roman" w:eastAsia="Times New Roman" w:hAnsi="Times New Roman" w:cs="Times New Roman"/>
                <w:sz w:val="20"/>
                <w:szCs w:val="20"/>
                <w:lang w:val="en-GB" w:eastAsia="es-ES"/>
              </w:rPr>
              <w:t>perational risk</w:t>
            </w:r>
          </w:p>
        </w:tc>
        <w:tc>
          <w:tcPr>
            <w:tcW w:w="4605" w:type="dxa"/>
            <w:shd w:val="clear" w:color="000000" w:fill="FFFFFF"/>
          </w:tcPr>
          <w:p w14:paraId="31845C6D" w14:textId="6652B9CD" w:rsidR="005A00B9" w:rsidRPr="005B1D20" w:rsidRDefault="005A00B9" w:rsidP="007A1BA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Amount of the capital requirements for operational risk module as calculated using the standard formula.</w:t>
            </w:r>
          </w:p>
        </w:tc>
      </w:tr>
      <w:tr w:rsidR="005A00B9" w:rsidRPr="002C529E" w14:paraId="749C4F3C" w14:textId="77777777" w:rsidTr="00EF0081">
        <w:trPr>
          <w:trHeight w:val="855"/>
        </w:trPr>
        <w:tc>
          <w:tcPr>
            <w:tcW w:w="1488" w:type="dxa"/>
            <w:shd w:val="clear" w:color="000000" w:fill="FFFFFF"/>
            <w:hideMark/>
          </w:tcPr>
          <w:p w14:paraId="3D6C9F34" w14:textId="10503967" w:rsidR="005A00B9" w:rsidRDefault="005A00B9" w:rsidP="007A1BA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R01</w:t>
            </w:r>
            <w:r>
              <w:rPr>
                <w:rFonts w:ascii="Times New Roman" w:eastAsia="Times New Roman" w:hAnsi="Times New Roman" w:cs="Times New Roman"/>
                <w:sz w:val="20"/>
                <w:szCs w:val="20"/>
                <w:lang w:val="en-GB" w:eastAsia="es-ES"/>
              </w:rPr>
              <w:t>4</w:t>
            </w:r>
            <w:r w:rsidRPr="005B1D20">
              <w:rPr>
                <w:rFonts w:ascii="Times New Roman" w:eastAsia="Times New Roman" w:hAnsi="Times New Roman" w:cs="Times New Roman"/>
                <w:sz w:val="20"/>
                <w:szCs w:val="20"/>
                <w:lang w:val="en-GB" w:eastAsia="es-ES"/>
              </w:rPr>
              <w:t>0/C0</w:t>
            </w:r>
            <w:r w:rsidR="006421B7">
              <w:rPr>
                <w:rFonts w:ascii="Times New Roman" w:eastAsia="Times New Roman" w:hAnsi="Times New Roman" w:cs="Times New Roman"/>
                <w:sz w:val="20"/>
                <w:szCs w:val="20"/>
                <w:lang w:val="en-GB" w:eastAsia="es-ES"/>
              </w:rPr>
              <w:t>1</w:t>
            </w:r>
            <w:r w:rsidRPr="005B1D20">
              <w:rPr>
                <w:rFonts w:ascii="Times New Roman" w:eastAsia="Times New Roman" w:hAnsi="Times New Roman" w:cs="Times New Roman"/>
                <w:sz w:val="20"/>
                <w:szCs w:val="20"/>
                <w:lang w:val="en-GB" w:eastAsia="es-ES"/>
              </w:rPr>
              <w:t>00</w:t>
            </w:r>
          </w:p>
          <w:p w14:paraId="4F78FEC8" w14:textId="78B53960" w:rsidR="005A00B9" w:rsidRPr="005B1D20" w:rsidRDefault="005A00B9" w:rsidP="007A1BA9">
            <w:pPr>
              <w:spacing w:after="0" w:line="240" w:lineRule="auto"/>
              <w:rPr>
                <w:rFonts w:ascii="Times New Roman" w:eastAsia="Times New Roman" w:hAnsi="Times New Roman" w:cs="Times New Roman"/>
                <w:sz w:val="20"/>
                <w:szCs w:val="20"/>
                <w:lang w:val="en-GB" w:eastAsia="es-ES"/>
              </w:rPr>
            </w:pPr>
          </w:p>
        </w:tc>
        <w:tc>
          <w:tcPr>
            <w:tcW w:w="2551" w:type="dxa"/>
            <w:shd w:val="clear" w:color="000000" w:fill="FFFFFF"/>
            <w:hideMark/>
          </w:tcPr>
          <w:p w14:paraId="6FD31618" w14:textId="20C17917" w:rsidR="005A00B9" w:rsidRPr="005B1D20" w:rsidRDefault="005A00B9" w:rsidP="007A1BA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 xml:space="preserve">Loss–absorbing capacity of technical provisions </w:t>
            </w:r>
          </w:p>
        </w:tc>
        <w:tc>
          <w:tcPr>
            <w:tcW w:w="4605" w:type="dxa"/>
            <w:shd w:val="clear" w:color="000000" w:fill="FFFFFF"/>
            <w:hideMark/>
          </w:tcPr>
          <w:p w14:paraId="100395F3" w14:textId="4D39F0C6" w:rsidR="005A00B9" w:rsidRPr="004B5BB4" w:rsidRDefault="005A00B9" w:rsidP="00353A6C">
            <w:pPr>
              <w:spacing w:after="0" w:line="240" w:lineRule="auto"/>
              <w:rPr>
                <w:rFonts w:ascii="Times New Roman" w:eastAsia="Times New Roman" w:hAnsi="Times New Roman" w:cs="Times New Roman"/>
                <w:sz w:val="20"/>
                <w:szCs w:val="20"/>
                <w:lang w:val="en-GB" w:eastAsia="es-ES"/>
              </w:rPr>
            </w:pPr>
            <w:r w:rsidRPr="004B5BB4">
              <w:rPr>
                <w:rFonts w:ascii="Times New Roman" w:eastAsia="Times New Roman" w:hAnsi="Times New Roman" w:cs="Times New Roman"/>
                <w:sz w:val="20"/>
                <w:szCs w:val="20"/>
                <w:lang w:val="en-GB" w:eastAsia="es-ES"/>
              </w:rPr>
              <w:t>Amount of the adjustment for loss-absorbing capacity of technical provisions calculated according to the standard formula</w:t>
            </w:r>
            <w:r w:rsidRPr="00EF0081">
              <w:rPr>
                <w:rFonts w:ascii="Times New Roman" w:eastAsia="Times New Roman" w:hAnsi="Times New Roman" w:cs="Times New Roman"/>
                <w:sz w:val="20"/>
                <w:szCs w:val="20"/>
                <w:lang w:val="en-GB" w:eastAsia="es-ES"/>
              </w:rPr>
              <w:t>. This amount should be disclosed as a negative value.</w:t>
            </w:r>
          </w:p>
        </w:tc>
      </w:tr>
      <w:tr w:rsidR="005A00B9" w:rsidRPr="002C529E" w14:paraId="10891A3A" w14:textId="77777777" w:rsidTr="00EF0081">
        <w:trPr>
          <w:trHeight w:val="570"/>
        </w:trPr>
        <w:tc>
          <w:tcPr>
            <w:tcW w:w="1488" w:type="dxa"/>
            <w:shd w:val="clear" w:color="000000" w:fill="FFFFFF"/>
            <w:hideMark/>
          </w:tcPr>
          <w:p w14:paraId="4C63EC61" w14:textId="70B6E78D" w:rsidR="005A00B9" w:rsidRDefault="005A00B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lastRenderedPageBreak/>
              <w:t>R01</w:t>
            </w:r>
            <w:r>
              <w:rPr>
                <w:rFonts w:ascii="Times New Roman" w:eastAsia="Times New Roman" w:hAnsi="Times New Roman" w:cs="Times New Roman"/>
                <w:sz w:val="20"/>
                <w:szCs w:val="20"/>
                <w:lang w:val="en-GB" w:eastAsia="es-ES"/>
              </w:rPr>
              <w:t>5</w:t>
            </w:r>
            <w:r w:rsidRPr="005B1D20">
              <w:rPr>
                <w:rFonts w:ascii="Times New Roman" w:eastAsia="Times New Roman" w:hAnsi="Times New Roman" w:cs="Times New Roman"/>
                <w:sz w:val="20"/>
                <w:szCs w:val="20"/>
                <w:lang w:val="en-GB" w:eastAsia="es-ES"/>
              </w:rPr>
              <w:t>0/C0</w:t>
            </w:r>
            <w:r w:rsidR="006421B7">
              <w:rPr>
                <w:rFonts w:ascii="Times New Roman" w:eastAsia="Times New Roman" w:hAnsi="Times New Roman" w:cs="Times New Roman"/>
                <w:sz w:val="20"/>
                <w:szCs w:val="20"/>
                <w:lang w:val="en-GB" w:eastAsia="es-ES"/>
              </w:rPr>
              <w:t>1</w:t>
            </w:r>
            <w:r w:rsidRPr="005B1D20">
              <w:rPr>
                <w:rFonts w:ascii="Times New Roman" w:eastAsia="Times New Roman" w:hAnsi="Times New Roman" w:cs="Times New Roman"/>
                <w:sz w:val="20"/>
                <w:szCs w:val="20"/>
                <w:lang w:val="en-GB" w:eastAsia="es-ES"/>
              </w:rPr>
              <w:t>00</w:t>
            </w:r>
          </w:p>
          <w:p w14:paraId="2B98A756" w14:textId="04A93775" w:rsidR="005A00B9" w:rsidRPr="005B1D20" w:rsidRDefault="005A00B9">
            <w:pPr>
              <w:spacing w:after="0" w:line="240" w:lineRule="auto"/>
              <w:rPr>
                <w:rFonts w:ascii="Times New Roman" w:eastAsia="Times New Roman" w:hAnsi="Times New Roman" w:cs="Times New Roman"/>
                <w:sz w:val="20"/>
                <w:szCs w:val="20"/>
                <w:lang w:val="en-GB" w:eastAsia="es-ES"/>
              </w:rPr>
            </w:pPr>
          </w:p>
        </w:tc>
        <w:tc>
          <w:tcPr>
            <w:tcW w:w="2551" w:type="dxa"/>
            <w:shd w:val="clear" w:color="000000" w:fill="FFFFFF"/>
            <w:hideMark/>
          </w:tcPr>
          <w:p w14:paraId="1A584F82" w14:textId="3DEE2E72" w:rsidR="005A00B9" w:rsidRPr="005B1D20" w:rsidRDefault="005A00B9" w:rsidP="007A1BA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Loss–absorbing capacity of deferred taxes</w:t>
            </w:r>
          </w:p>
        </w:tc>
        <w:tc>
          <w:tcPr>
            <w:tcW w:w="4605" w:type="dxa"/>
            <w:shd w:val="clear" w:color="000000" w:fill="FFFFFF"/>
            <w:hideMark/>
          </w:tcPr>
          <w:p w14:paraId="77E07A8D" w14:textId="75789B82" w:rsidR="005A00B9" w:rsidRPr="004B5BB4" w:rsidRDefault="005A00B9" w:rsidP="007A1BA9">
            <w:pPr>
              <w:spacing w:after="0" w:line="240" w:lineRule="auto"/>
              <w:rPr>
                <w:rFonts w:ascii="Times New Roman" w:eastAsia="Times New Roman" w:hAnsi="Times New Roman" w:cs="Times New Roman"/>
                <w:sz w:val="20"/>
                <w:szCs w:val="20"/>
                <w:lang w:val="en-GB" w:eastAsia="es-ES"/>
              </w:rPr>
            </w:pPr>
            <w:r w:rsidRPr="004B5BB4">
              <w:rPr>
                <w:rFonts w:ascii="Times New Roman" w:eastAsia="Times New Roman" w:hAnsi="Times New Roman" w:cs="Times New Roman"/>
                <w:sz w:val="20"/>
                <w:szCs w:val="20"/>
                <w:lang w:val="en-GB" w:eastAsia="es-ES"/>
              </w:rPr>
              <w:t xml:space="preserve">Amount of the adjustment for loss-absorbing capacity of deferred taxes calculated according to the standard formula. </w:t>
            </w:r>
          </w:p>
          <w:p w14:paraId="48EEE9B8" w14:textId="40338D52" w:rsidR="005A00B9" w:rsidRPr="004B5BB4" w:rsidRDefault="005A00B9" w:rsidP="007A1BA9">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This amount should be disclosed as a negative value.</w:t>
            </w:r>
          </w:p>
        </w:tc>
      </w:tr>
      <w:tr w:rsidR="005A00B9" w:rsidRPr="002C529E" w14:paraId="76483A3C" w14:textId="77777777" w:rsidTr="00EF0081">
        <w:trPr>
          <w:trHeight w:val="1669"/>
        </w:trPr>
        <w:tc>
          <w:tcPr>
            <w:tcW w:w="1488" w:type="dxa"/>
            <w:shd w:val="clear" w:color="auto" w:fill="auto"/>
          </w:tcPr>
          <w:p w14:paraId="44831CBE" w14:textId="3541FE1A" w:rsidR="005A00B9" w:rsidRPr="005B1D20" w:rsidDel="00084288" w:rsidRDefault="005A00B9" w:rsidP="00367F79">
            <w:pPr>
              <w:spacing w:after="0" w:line="240" w:lineRule="auto"/>
              <w:rPr>
                <w:rFonts w:ascii="Times New Roman" w:eastAsia="Times New Roman" w:hAnsi="Times New Roman" w:cs="Times New Roman"/>
                <w:sz w:val="20"/>
                <w:szCs w:val="20"/>
                <w:lang w:val="pt-PT" w:eastAsia="es-ES"/>
              </w:rPr>
            </w:pPr>
            <w:r w:rsidRPr="005B1D20">
              <w:rPr>
                <w:rFonts w:ascii="Times New Roman" w:eastAsia="Times New Roman" w:hAnsi="Times New Roman" w:cs="Times New Roman"/>
                <w:sz w:val="20"/>
                <w:szCs w:val="20"/>
                <w:lang w:val="en-GB" w:eastAsia="es-ES"/>
              </w:rPr>
              <w:t>R01</w:t>
            </w:r>
            <w:r>
              <w:rPr>
                <w:rFonts w:ascii="Times New Roman" w:eastAsia="Times New Roman" w:hAnsi="Times New Roman" w:cs="Times New Roman"/>
                <w:sz w:val="20"/>
                <w:szCs w:val="20"/>
                <w:lang w:val="en-GB" w:eastAsia="es-ES"/>
              </w:rPr>
              <w:t>6</w:t>
            </w:r>
            <w:r w:rsidRPr="005B1D20">
              <w:rPr>
                <w:rFonts w:ascii="Times New Roman" w:eastAsia="Times New Roman" w:hAnsi="Times New Roman" w:cs="Times New Roman"/>
                <w:sz w:val="20"/>
                <w:szCs w:val="20"/>
                <w:lang w:val="en-GB" w:eastAsia="es-ES"/>
              </w:rPr>
              <w:t>0/C0</w:t>
            </w:r>
            <w:r w:rsidR="006421B7">
              <w:rPr>
                <w:rFonts w:ascii="Times New Roman" w:eastAsia="Times New Roman" w:hAnsi="Times New Roman" w:cs="Times New Roman"/>
                <w:sz w:val="20"/>
                <w:szCs w:val="20"/>
                <w:lang w:val="en-GB" w:eastAsia="es-ES"/>
              </w:rPr>
              <w:t>1</w:t>
            </w:r>
            <w:r w:rsidRPr="005B1D20">
              <w:rPr>
                <w:rFonts w:ascii="Times New Roman" w:eastAsia="Times New Roman" w:hAnsi="Times New Roman" w:cs="Times New Roman"/>
                <w:sz w:val="20"/>
                <w:szCs w:val="20"/>
                <w:lang w:val="en-GB" w:eastAsia="es-ES"/>
              </w:rPr>
              <w:t>00</w:t>
            </w:r>
          </w:p>
        </w:tc>
        <w:tc>
          <w:tcPr>
            <w:tcW w:w="2551" w:type="dxa"/>
            <w:shd w:val="clear" w:color="auto" w:fill="auto"/>
          </w:tcPr>
          <w:p w14:paraId="74F28959" w14:textId="154301CC" w:rsidR="005A00B9" w:rsidRPr="005B1D20" w:rsidRDefault="005A00B9" w:rsidP="007A1BA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 xml:space="preserve">Capital requirement for business operated in accordance with Art. 4 of Directive 2003/41/EC </w:t>
            </w:r>
          </w:p>
        </w:tc>
        <w:tc>
          <w:tcPr>
            <w:tcW w:w="4605" w:type="dxa"/>
            <w:shd w:val="clear" w:color="auto" w:fill="auto"/>
          </w:tcPr>
          <w:p w14:paraId="178C23DB" w14:textId="78756D08" w:rsidR="005A00B9" w:rsidRPr="005B1D20" w:rsidRDefault="005A00B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 xml:space="preserve">Amount of the capital requirement, calculated according to the rules stated in Art. 17 of Directive 2003/41/EC, for ring-fenced funds relating to pension business operated under Art. 4 of Directive 2003/41/EC to which transitional measures are applied. This item is </w:t>
            </w:r>
            <w:r w:rsidR="005B0BCC">
              <w:rPr>
                <w:rFonts w:ascii="Times New Roman" w:eastAsia="Times New Roman" w:hAnsi="Times New Roman" w:cs="Times New Roman"/>
                <w:sz w:val="20"/>
                <w:szCs w:val="20"/>
                <w:lang w:val="en-GB" w:eastAsia="es-ES"/>
              </w:rPr>
              <w:t xml:space="preserve">to </w:t>
            </w:r>
            <w:r w:rsidRPr="005B1D20">
              <w:rPr>
                <w:rFonts w:ascii="Times New Roman" w:eastAsia="Times New Roman" w:hAnsi="Times New Roman" w:cs="Times New Roman"/>
                <w:sz w:val="20"/>
                <w:szCs w:val="20"/>
                <w:lang w:val="en-GB" w:eastAsia="es-ES"/>
              </w:rPr>
              <w:t xml:space="preserve">be </w:t>
            </w:r>
            <w:r w:rsidR="0060371A">
              <w:rPr>
                <w:rFonts w:ascii="Times New Roman" w:eastAsia="Times New Roman" w:hAnsi="Times New Roman" w:cs="Times New Roman"/>
                <w:sz w:val="20"/>
                <w:szCs w:val="20"/>
                <w:lang w:val="en-GB" w:eastAsia="es-ES"/>
              </w:rPr>
              <w:t>disclosed</w:t>
            </w:r>
            <w:r w:rsidRPr="005B1D20">
              <w:rPr>
                <w:rFonts w:ascii="Times New Roman" w:eastAsia="Times New Roman" w:hAnsi="Times New Roman" w:cs="Times New Roman"/>
                <w:sz w:val="20"/>
                <w:szCs w:val="20"/>
                <w:lang w:val="en-GB" w:eastAsia="es-ES"/>
              </w:rPr>
              <w:t xml:space="preserve"> only during the transitional period. </w:t>
            </w:r>
          </w:p>
        </w:tc>
      </w:tr>
      <w:tr w:rsidR="005A00B9" w:rsidRPr="002C529E" w14:paraId="18FBCA0C" w14:textId="77777777" w:rsidTr="00EF0081">
        <w:trPr>
          <w:trHeight w:val="708"/>
        </w:trPr>
        <w:tc>
          <w:tcPr>
            <w:tcW w:w="1488" w:type="dxa"/>
            <w:shd w:val="clear" w:color="auto" w:fill="auto"/>
          </w:tcPr>
          <w:p w14:paraId="76EABCD7" w14:textId="43090FDD" w:rsidR="005A00B9" w:rsidRPr="005B1D20" w:rsidDel="00084288" w:rsidRDefault="005A00B9" w:rsidP="00367F79">
            <w:pPr>
              <w:spacing w:after="0" w:line="240" w:lineRule="auto"/>
              <w:rPr>
                <w:rFonts w:ascii="Times New Roman" w:eastAsia="Times New Roman" w:hAnsi="Times New Roman" w:cs="Times New Roman"/>
                <w:sz w:val="20"/>
                <w:szCs w:val="20"/>
                <w:lang w:val="pt-PT" w:eastAsia="es-ES"/>
              </w:rPr>
            </w:pPr>
            <w:r w:rsidRPr="005B1D20">
              <w:rPr>
                <w:rFonts w:ascii="Times New Roman" w:eastAsia="Times New Roman" w:hAnsi="Times New Roman" w:cs="Times New Roman"/>
                <w:sz w:val="20"/>
                <w:szCs w:val="20"/>
                <w:lang w:val="en-GB" w:eastAsia="es-ES"/>
              </w:rPr>
              <w:t>R0</w:t>
            </w:r>
            <w:r>
              <w:rPr>
                <w:rFonts w:ascii="Times New Roman" w:eastAsia="Times New Roman" w:hAnsi="Times New Roman" w:cs="Times New Roman"/>
                <w:sz w:val="20"/>
                <w:szCs w:val="20"/>
                <w:lang w:val="en-GB" w:eastAsia="es-ES"/>
              </w:rPr>
              <w:t>2</w:t>
            </w:r>
            <w:r w:rsidRPr="005B1D20">
              <w:rPr>
                <w:rFonts w:ascii="Times New Roman" w:eastAsia="Times New Roman" w:hAnsi="Times New Roman" w:cs="Times New Roman"/>
                <w:sz w:val="20"/>
                <w:szCs w:val="20"/>
                <w:lang w:val="en-GB" w:eastAsia="es-ES"/>
              </w:rPr>
              <w:t>00/C0</w:t>
            </w:r>
            <w:r w:rsidR="006421B7">
              <w:rPr>
                <w:rFonts w:ascii="Times New Roman" w:eastAsia="Times New Roman" w:hAnsi="Times New Roman" w:cs="Times New Roman"/>
                <w:sz w:val="20"/>
                <w:szCs w:val="20"/>
                <w:lang w:val="en-GB" w:eastAsia="es-ES"/>
              </w:rPr>
              <w:t>1</w:t>
            </w:r>
            <w:r w:rsidRPr="005B1D20">
              <w:rPr>
                <w:rFonts w:ascii="Times New Roman" w:eastAsia="Times New Roman" w:hAnsi="Times New Roman" w:cs="Times New Roman"/>
                <w:sz w:val="20"/>
                <w:szCs w:val="20"/>
                <w:lang w:val="en-GB" w:eastAsia="es-ES"/>
              </w:rPr>
              <w:t>00</w:t>
            </w:r>
          </w:p>
        </w:tc>
        <w:tc>
          <w:tcPr>
            <w:tcW w:w="2551" w:type="dxa"/>
            <w:shd w:val="clear" w:color="auto" w:fill="auto"/>
          </w:tcPr>
          <w:p w14:paraId="265B8595" w14:textId="5AEBD631" w:rsidR="005A00B9" w:rsidRPr="005B1D20" w:rsidRDefault="005A00B9" w:rsidP="007A1BA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Solvency capital requirement excluding capital add-on</w:t>
            </w:r>
          </w:p>
        </w:tc>
        <w:tc>
          <w:tcPr>
            <w:tcW w:w="4605" w:type="dxa"/>
            <w:shd w:val="clear" w:color="auto" w:fill="auto"/>
          </w:tcPr>
          <w:p w14:paraId="20207A2D" w14:textId="2158F8A0" w:rsidR="005A00B9" w:rsidRPr="00353A6C" w:rsidRDefault="005A00B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 xml:space="preserve">Amount of the total diversified SCR before any capital add-on. </w:t>
            </w:r>
          </w:p>
        </w:tc>
      </w:tr>
      <w:tr w:rsidR="005A00B9" w:rsidRPr="002C529E" w:rsidDel="00D32D6A" w14:paraId="066475E9" w14:textId="77777777" w:rsidTr="00EF0081">
        <w:trPr>
          <w:trHeight w:val="567"/>
        </w:trPr>
        <w:tc>
          <w:tcPr>
            <w:tcW w:w="1488" w:type="dxa"/>
            <w:shd w:val="clear" w:color="000000" w:fill="FFFFFF"/>
          </w:tcPr>
          <w:p w14:paraId="24548376" w14:textId="7E888175" w:rsidR="005A00B9" w:rsidRPr="005B1D20" w:rsidDel="00D32D6A" w:rsidRDefault="005A00B9" w:rsidP="00367F7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R0</w:t>
            </w:r>
            <w:r>
              <w:rPr>
                <w:rFonts w:ascii="Times New Roman" w:eastAsia="Times New Roman" w:hAnsi="Times New Roman" w:cs="Times New Roman"/>
                <w:sz w:val="20"/>
                <w:szCs w:val="20"/>
                <w:lang w:val="en-GB" w:eastAsia="es-ES"/>
              </w:rPr>
              <w:t>2</w:t>
            </w:r>
            <w:r w:rsidRPr="005B1D20">
              <w:rPr>
                <w:rFonts w:ascii="Times New Roman" w:eastAsia="Times New Roman" w:hAnsi="Times New Roman" w:cs="Times New Roman"/>
                <w:sz w:val="20"/>
                <w:szCs w:val="20"/>
                <w:lang w:val="en-GB" w:eastAsia="es-ES"/>
              </w:rPr>
              <w:t>10/C0</w:t>
            </w:r>
            <w:r w:rsidR="006421B7">
              <w:rPr>
                <w:rFonts w:ascii="Times New Roman" w:eastAsia="Times New Roman" w:hAnsi="Times New Roman" w:cs="Times New Roman"/>
                <w:sz w:val="20"/>
                <w:szCs w:val="20"/>
                <w:lang w:val="en-GB" w:eastAsia="es-ES"/>
              </w:rPr>
              <w:t>1</w:t>
            </w:r>
            <w:r w:rsidRPr="005B1D20">
              <w:rPr>
                <w:rFonts w:ascii="Times New Roman" w:eastAsia="Times New Roman" w:hAnsi="Times New Roman" w:cs="Times New Roman"/>
                <w:sz w:val="20"/>
                <w:szCs w:val="20"/>
                <w:lang w:val="en-GB" w:eastAsia="es-ES"/>
              </w:rPr>
              <w:t>00</w:t>
            </w:r>
          </w:p>
        </w:tc>
        <w:tc>
          <w:tcPr>
            <w:tcW w:w="2551" w:type="dxa"/>
            <w:shd w:val="clear" w:color="000000" w:fill="FFFFFF"/>
          </w:tcPr>
          <w:p w14:paraId="59441C55" w14:textId="2484FC28" w:rsidR="005A00B9" w:rsidRPr="005B1D20" w:rsidDel="00D32D6A" w:rsidRDefault="005A00B9" w:rsidP="007A1BA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Capital add-on already set</w:t>
            </w:r>
          </w:p>
        </w:tc>
        <w:tc>
          <w:tcPr>
            <w:tcW w:w="4605" w:type="dxa"/>
            <w:shd w:val="clear" w:color="000000" w:fill="FFFFFF"/>
          </w:tcPr>
          <w:p w14:paraId="231D5A07" w14:textId="77777777" w:rsidR="00EF0081" w:rsidRDefault="005A00B9" w:rsidP="00EF0081">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 xml:space="preserve">Amount of capital add-on that had been set at the reporting reference date. It will not include capital add-ons set between that date and the submission of the data to the supervisory authority, nor any set after the submission of the data. </w:t>
            </w:r>
          </w:p>
          <w:p w14:paraId="5EF8653E" w14:textId="77777777" w:rsidR="00EF0081" w:rsidRDefault="00EF0081" w:rsidP="00EF0081">
            <w:pPr>
              <w:spacing w:after="0" w:line="240" w:lineRule="auto"/>
              <w:rPr>
                <w:rFonts w:ascii="Times New Roman" w:eastAsia="Times New Roman" w:hAnsi="Times New Roman" w:cs="Times New Roman"/>
                <w:sz w:val="20"/>
                <w:szCs w:val="20"/>
                <w:lang w:val="en-GB" w:eastAsia="es-ES"/>
              </w:rPr>
            </w:pPr>
          </w:p>
          <w:p w14:paraId="24FFDA3F" w14:textId="5F08E171" w:rsidR="005A00B9" w:rsidRPr="005B1D20" w:rsidDel="00D32D6A" w:rsidRDefault="005A00B9" w:rsidP="00EF0081">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During the transitional phase, t</w:t>
            </w:r>
            <w:r w:rsidRPr="00EF0081">
              <w:rPr>
                <w:rFonts w:ascii="Times New Roman" w:eastAsia="Times New Roman" w:hAnsi="Times New Roman" w:cs="Times New Roman"/>
                <w:sz w:val="20"/>
                <w:szCs w:val="20"/>
                <w:lang w:val="en-GB" w:eastAsia="es-ES"/>
              </w:rPr>
              <w:t xml:space="preserve">his item shall only be </w:t>
            </w:r>
            <w:r w:rsidR="0060371A">
              <w:rPr>
                <w:rFonts w:ascii="Times New Roman" w:eastAsia="Times New Roman" w:hAnsi="Times New Roman" w:cs="Times New Roman"/>
                <w:sz w:val="20"/>
                <w:szCs w:val="20"/>
                <w:lang w:val="en-GB" w:eastAsia="es-ES"/>
              </w:rPr>
              <w:t>disclosed</w:t>
            </w:r>
            <w:r w:rsidRPr="00EF0081">
              <w:rPr>
                <w:rFonts w:ascii="Times New Roman" w:eastAsia="Times New Roman" w:hAnsi="Times New Roman" w:cs="Times New Roman"/>
                <w:sz w:val="20"/>
                <w:szCs w:val="20"/>
                <w:lang w:val="en-GB" w:eastAsia="es-ES"/>
              </w:rPr>
              <w:t xml:space="preserve"> if the </w:t>
            </w:r>
            <w:r>
              <w:rPr>
                <w:rFonts w:ascii="Times New Roman" w:eastAsia="Times New Roman" w:hAnsi="Times New Roman" w:cs="Times New Roman"/>
                <w:sz w:val="20"/>
                <w:szCs w:val="20"/>
                <w:lang w:val="en-GB" w:eastAsia="es-ES"/>
              </w:rPr>
              <w:t>M</w:t>
            </w:r>
            <w:r w:rsidRPr="00EF0081">
              <w:rPr>
                <w:rFonts w:ascii="Times New Roman" w:eastAsia="Times New Roman" w:hAnsi="Times New Roman" w:cs="Times New Roman"/>
                <w:sz w:val="20"/>
                <w:szCs w:val="20"/>
                <w:lang w:val="en-GB" w:eastAsia="es-ES"/>
              </w:rPr>
              <w:t xml:space="preserve">ember </w:t>
            </w:r>
            <w:r>
              <w:rPr>
                <w:rFonts w:ascii="Times New Roman" w:eastAsia="Times New Roman" w:hAnsi="Times New Roman" w:cs="Times New Roman"/>
                <w:sz w:val="20"/>
                <w:szCs w:val="20"/>
                <w:lang w:val="en-GB" w:eastAsia="es-ES"/>
              </w:rPr>
              <w:t>S</w:t>
            </w:r>
            <w:r w:rsidRPr="00EF0081">
              <w:rPr>
                <w:rFonts w:ascii="Times New Roman" w:eastAsia="Times New Roman" w:hAnsi="Times New Roman" w:cs="Times New Roman"/>
                <w:sz w:val="20"/>
                <w:szCs w:val="20"/>
                <w:lang w:val="en-GB" w:eastAsia="es-ES"/>
              </w:rPr>
              <w:t>tate decided it to be compulsory according to article 51(2) of Directive 2009/138/EC. Otherwise, the amount of the capital add-on should be split among the nSCR of the risk modules. The precise procedure should be previously agreed with the NSA.</w:t>
            </w:r>
            <w:r w:rsidRPr="005A00B9">
              <w:rPr>
                <w:rFonts w:ascii="Times New Roman" w:eastAsia="Times New Roman" w:hAnsi="Times New Roman" w:cs="Times New Roman"/>
                <w:sz w:val="20"/>
                <w:szCs w:val="20"/>
                <w:lang w:val="en-GB" w:eastAsia="es-ES"/>
              </w:rPr>
              <w:br/>
            </w:r>
          </w:p>
        </w:tc>
      </w:tr>
      <w:tr w:rsidR="005A00B9" w:rsidRPr="002C529E" w:rsidDel="00D32D6A" w14:paraId="4FA069F8" w14:textId="77777777" w:rsidTr="00EF0081">
        <w:trPr>
          <w:trHeight w:val="567"/>
        </w:trPr>
        <w:tc>
          <w:tcPr>
            <w:tcW w:w="1488" w:type="dxa"/>
            <w:shd w:val="clear" w:color="000000" w:fill="FFFFFF"/>
          </w:tcPr>
          <w:p w14:paraId="570C2902" w14:textId="73FC17A2" w:rsidR="005A00B9" w:rsidRPr="005B1D20" w:rsidDel="00D32D6A" w:rsidRDefault="005A00B9" w:rsidP="00367F7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R0</w:t>
            </w:r>
            <w:r>
              <w:rPr>
                <w:rFonts w:ascii="Times New Roman" w:eastAsia="Times New Roman" w:hAnsi="Times New Roman" w:cs="Times New Roman"/>
                <w:sz w:val="20"/>
                <w:szCs w:val="20"/>
                <w:lang w:val="en-GB" w:eastAsia="es-ES"/>
              </w:rPr>
              <w:t>2</w:t>
            </w:r>
            <w:r w:rsidRPr="005B1D20">
              <w:rPr>
                <w:rFonts w:ascii="Times New Roman" w:eastAsia="Times New Roman" w:hAnsi="Times New Roman" w:cs="Times New Roman"/>
                <w:sz w:val="20"/>
                <w:szCs w:val="20"/>
                <w:lang w:val="en-GB" w:eastAsia="es-ES"/>
              </w:rPr>
              <w:t>20/C0</w:t>
            </w:r>
            <w:r w:rsidR="006421B7">
              <w:rPr>
                <w:rFonts w:ascii="Times New Roman" w:eastAsia="Times New Roman" w:hAnsi="Times New Roman" w:cs="Times New Roman"/>
                <w:sz w:val="20"/>
                <w:szCs w:val="20"/>
                <w:lang w:val="en-GB" w:eastAsia="es-ES"/>
              </w:rPr>
              <w:t>1</w:t>
            </w:r>
            <w:r w:rsidRPr="005B1D20">
              <w:rPr>
                <w:rFonts w:ascii="Times New Roman" w:eastAsia="Times New Roman" w:hAnsi="Times New Roman" w:cs="Times New Roman"/>
                <w:sz w:val="20"/>
                <w:szCs w:val="20"/>
                <w:lang w:val="en-GB" w:eastAsia="es-ES"/>
              </w:rPr>
              <w:t>00</w:t>
            </w:r>
          </w:p>
        </w:tc>
        <w:tc>
          <w:tcPr>
            <w:tcW w:w="2551" w:type="dxa"/>
            <w:shd w:val="clear" w:color="000000" w:fill="FFFFFF"/>
          </w:tcPr>
          <w:p w14:paraId="088E28DE" w14:textId="23728521" w:rsidR="005A00B9" w:rsidRPr="005B1D20" w:rsidDel="00D32D6A" w:rsidRDefault="005A00B9" w:rsidP="007A1BA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Solvency capital requirement</w:t>
            </w:r>
          </w:p>
        </w:tc>
        <w:tc>
          <w:tcPr>
            <w:tcW w:w="4605" w:type="dxa"/>
            <w:shd w:val="clear" w:color="000000" w:fill="FFFFFF"/>
          </w:tcPr>
          <w:p w14:paraId="50C278C8" w14:textId="1CCA59A8" w:rsidR="005A00B9" w:rsidRPr="005B1D20" w:rsidDel="00D32D6A" w:rsidRDefault="005A00B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 xml:space="preserve">Amount of the </w:t>
            </w:r>
            <w:r w:rsidR="005B0BCC" w:rsidRPr="00AE1434">
              <w:rPr>
                <w:rFonts w:ascii="Times New Roman" w:eastAsia="Times New Roman" w:hAnsi="Times New Roman" w:cs="Times New Roman"/>
                <w:sz w:val="20"/>
                <w:szCs w:val="20"/>
                <w:lang w:val="en-GB" w:eastAsia="es-ES"/>
              </w:rPr>
              <w:t>Solvency Capital Requirement</w:t>
            </w:r>
            <w:r w:rsidRPr="005B1D20">
              <w:rPr>
                <w:rFonts w:ascii="Times New Roman" w:eastAsia="Times New Roman" w:hAnsi="Times New Roman" w:cs="Times New Roman"/>
                <w:sz w:val="20"/>
                <w:szCs w:val="20"/>
                <w:lang w:val="en-GB" w:eastAsia="es-ES"/>
              </w:rPr>
              <w:t>.</w:t>
            </w:r>
            <w:r w:rsidRPr="005B1D20">
              <w:rPr>
                <w:rFonts w:ascii="Times New Roman" w:eastAsia="Times New Roman" w:hAnsi="Times New Roman" w:cs="Times New Roman"/>
                <w:sz w:val="20"/>
                <w:szCs w:val="20"/>
                <w:lang w:val="en-GB" w:eastAsia="es-ES"/>
              </w:rPr>
              <w:br/>
            </w:r>
          </w:p>
        </w:tc>
      </w:tr>
      <w:tr w:rsidR="005A00B9" w:rsidRPr="00E93329" w14:paraId="1B3114E4" w14:textId="77777777" w:rsidTr="00261179">
        <w:trPr>
          <w:trHeight w:val="339"/>
        </w:trPr>
        <w:tc>
          <w:tcPr>
            <w:tcW w:w="8644" w:type="dxa"/>
            <w:gridSpan w:val="3"/>
            <w:shd w:val="clear" w:color="auto" w:fill="auto"/>
            <w:vAlign w:val="center"/>
          </w:tcPr>
          <w:p w14:paraId="5D518390" w14:textId="092EE65A" w:rsidR="005A00B9" w:rsidRPr="005B1D20" w:rsidRDefault="005A00B9" w:rsidP="00261179">
            <w:pPr>
              <w:spacing w:after="0" w:line="240" w:lineRule="auto"/>
              <w:rPr>
                <w:rFonts w:ascii="Times New Roman" w:eastAsia="Times New Roman" w:hAnsi="Times New Roman" w:cs="Times New Roman"/>
                <w:b/>
                <w:sz w:val="20"/>
                <w:szCs w:val="20"/>
                <w:lang w:val="en-GB" w:eastAsia="es-ES"/>
              </w:rPr>
            </w:pPr>
            <w:r w:rsidRPr="005B1D20">
              <w:rPr>
                <w:rFonts w:ascii="Times New Roman" w:eastAsia="Times New Roman" w:hAnsi="Times New Roman" w:cs="Times New Roman"/>
                <w:b/>
                <w:sz w:val="20"/>
                <w:szCs w:val="20"/>
                <w:lang w:val="en-GB" w:eastAsia="es-ES"/>
              </w:rPr>
              <w:t>Other information on SCR</w:t>
            </w:r>
          </w:p>
        </w:tc>
      </w:tr>
      <w:tr w:rsidR="005A00B9" w:rsidRPr="002C529E" w14:paraId="124806ED" w14:textId="77777777" w:rsidTr="00EF0081">
        <w:trPr>
          <w:trHeight w:val="567"/>
        </w:trPr>
        <w:tc>
          <w:tcPr>
            <w:tcW w:w="1488" w:type="dxa"/>
            <w:shd w:val="clear" w:color="auto" w:fill="auto"/>
          </w:tcPr>
          <w:p w14:paraId="7C38212D" w14:textId="29239611" w:rsidR="005A00B9" w:rsidRPr="005B1D20" w:rsidRDefault="005A00B9" w:rsidP="00367F7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R0400/C0</w:t>
            </w:r>
            <w:r w:rsidRPr="00D20856">
              <w:rPr>
                <w:rFonts w:ascii="Times New Roman" w:eastAsia="Times New Roman" w:hAnsi="Times New Roman" w:cs="Times New Roman"/>
                <w:sz w:val="20"/>
                <w:szCs w:val="20"/>
                <w:lang w:val="en-GB" w:eastAsia="es-ES"/>
              </w:rPr>
              <w:t>1</w:t>
            </w:r>
            <w:r w:rsidR="00513541">
              <w:rPr>
                <w:rFonts w:ascii="Times New Roman" w:eastAsia="Times New Roman" w:hAnsi="Times New Roman" w:cs="Times New Roman"/>
                <w:sz w:val="20"/>
                <w:szCs w:val="20"/>
                <w:lang w:val="en-GB" w:eastAsia="es-ES"/>
              </w:rPr>
              <w:t>0</w:t>
            </w:r>
            <w:r w:rsidRPr="005B1D20">
              <w:rPr>
                <w:rFonts w:ascii="Times New Roman" w:eastAsia="Times New Roman" w:hAnsi="Times New Roman" w:cs="Times New Roman"/>
                <w:sz w:val="20"/>
                <w:szCs w:val="20"/>
                <w:lang w:val="en-GB" w:eastAsia="es-ES"/>
              </w:rPr>
              <w:t>0</w:t>
            </w:r>
          </w:p>
        </w:tc>
        <w:tc>
          <w:tcPr>
            <w:tcW w:w="2551" w:type="dxa"/>
            <w:shd w:val="clear" w:color="auto" w:fill="auto"/>
          </w:tcPr>
          <w:p w14:paraId="105DAA3F" w14:textId="25E4754E" w:rsidR="005A00B9" w:rsidRPr="005B1D20" w:rsidDel="009054DD" w:rsidRDefault="005A00B9" w:rsidP="007A1BA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Capital requirement for duration-based equity risk sub-module</w:t>
            </w:r>
          </w:p>
        </w:tc>
        <w:tc>
          <w:tcPr>
            <w:tcW w:w="4605" w:type="dxa"/>
            <w:shd w:val="clear" w:color="auto" w:fill="auto"/>
          </w:tcPr>
          <w:p w14:paraId="7B0FCF24" w14:textId="77777777" w:rsidR="005A00B9" w:rsidRPr="005B1D20" w:rsidRDefault="005A00B9" w:rsidP="007A1BA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Amount of the capital requirement for duration-based equity risk sub-module.</w:t>
            </w:r>
          </w:p>
          <w:p w14:paraId="288AA3F9" w14:textId="77777777" w:rsidR="005A00B9" w:rsidRPr="005B1D20" w:rsidRDefault="005A00B9" w:rsidP="007A1BA9">
            <w:pPr>
              <w:spacing w:after="0" w:line="240" w:lineRule="auto"/>
              <w:rPr>
                <w:rFonts w:ascii="Times New Roman" w:eastAsia="Times New Roman" w:hAnsi="Times New Roman" w:cs="Times New Roman"/>
                <w:sz w:val="20"/>
                <w:szCs w:val="20"/>
                <w:lang w:val="en-GB" w:eastAsia="es-ES"/>
              </w:rPr>
            </w:pPr>
          </w:p>
          <w:p w14:paraId="7458EB4E" w14:textId="65553A7E" w:rsidR="005A00B9" w:rsidRPr="005B1D20" w:rsidRDefault="005A00B9" w:rsidP="007A1BA9">
            <w:pPr>
              <w:spacing w:after="0" w:line="240" w:lineRule="auto"/>
              <w:rPr>
                <w:rFonts w:ascii="Times New Roman" w:eastAsia="Times New Roman" w:hAnsi="Times New Roman" w:cs="Times New Roman"/>
                <w:sz w:val="20"/>
                <w:szCs w:val="20"/>
                <w:lang w:val="en-GB" w:eastAsia="es-ES"/>
              </w:rPr>
            </w:pPr>
          </w:p>
        </w:tc>
      </w:tr>
      <w:tr w:rsidR="005A00B9" w:rsidRPr="002C529E" w14:paraId="3139A651" w14:textId="77777777" w:rsidTr="00EF0081">
        <w:trPr>
          <w:trHeight w:val="567"/>
        </w:trPr>
        <w:tc>
          <w:tcPr>
            <w:tcW w:w="1488" w:type="dxa"/>
            <w:shd w:val="clear" w:color="auto" w:fill="auto"/>
          </w:tcPr>
          <w:p w14:paraId="3A094383" w14:textId="0F277704" w:rsidR="005A00B9" w:rsidRPr="005B1D20" w:rsidRDefault="005A00B9" w:rsidP="00367F7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R0410/C0</w:t>
            </w:r>
            <w:r>
              <w:rPr>
                <w:rFonts w:ascii="Times New Roman" w:eastAsia="Times New Roman" w:hAnsi="Times New Roman" w:cs="Times New Roman"/>
                <w:sz w:val="20"/>
                <w:szCs w:val="20"/>
                <w:lang w:val="en-GB" w:eastAsia="es-ES"/>
              </w:rPr>
              <w:t>1</w:t>
            </w:r>
            <w:r w:rsidR="00513541">
              <w:rPr>
                <w:rFonts w:ascii="Times New Roman" w:eastAsia="Times New Roman" w:hAnsi="Times New Roman" w:cs="Times New Roman"/>
                <w:sz w:val="20"/>
                <w:szCs w:val="20"/>
                <w:lang w:val="en-GB" w:eastAsia="es-ES"/>
              </w:rPr>
              <w:t>0</w:t>
            </w:r>
            <w:r w:rsidRPr="005B1D20">
              <w:rPr>
                <w:rFonts w:ascii="Times New Roman" w:eastAsia="Times New Roman" w:hAnsi="Times New Roman" w:cs="Times New Roman"/>
                <w:sz w:val="20"/>
                <w:szCs w:val="20"/>
                <w:lang w:val="en-GB" w:eastAsia="es-ES"/>
              </w:rPr>
              <w:t>0</w:t>
            </w:r>
          </w:p>
        </w:tc>
        <w:tc>
          <w:tcPr>
            <w:tcW w:w="2551" w:type="dxa"/>
            <w:shd w:val="clear" w:color="auto" w:fill="auto"/>
          </w:tcPr>
          <w:p w14:paraId="106FCC37" w14:textId="09F95F26" w:rsidR="005A00B9" w:rsidRPr="005B1D20" w:rsidRDefault="005A00B9" w:rsidP="007A1BA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605" w:type="dxa"/>
            <w:shd w:val="clear" w:color="auto" w:fill="auto"/>
          </w:tcPr>
          <w:p w14:paraId="2BFA025E" w14:textId="26651662" w:rsidR="005A00B9" w:rsidRPr="005B1D20" w:rsidRDefault="005A00B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 xml:space="preserve">Amount of the notional SCRs of remaining part </w:t>
            </w:r>
            <w:r>
              <w:rPr>
                <w:rFonts w:ascii="Times New Roman" w:eastAsia="Times New Roman" w:hAnsi="Times New Roman" w:cs="Times New Roman"/>
                <w:sz w:val="20"/>
                <w:szCs w:val="20"/>
                <w:lang w:val="en-GB" w:eastAsia="es-ES"/>
              </w:rPr>
              <w:t>when undertaking has RFF.</w:t>
            </w:r>
            <w:r w:rsidRPr="005B1D20">
              <w:rPr>
                <w:rFonts w:ascii="Times New Roman" w:eastAsia="Times New Roman" w:hAnsi="Times New Roman" w:cs="Times New Roman"/>
                <w:sz w:val="20"/>
                <w:szCs w:val="20"/>
                <w:lang w:val="en-GB" w:eastAsia="es-ES"/>
              </w:rPr>
              <w:br/>
              <w:t xml:space="preserve"> </w:t>
            </w:r>
            <w:r w:rsidRPr="005B1D20">
              <w:rPr>
                <w:rFonts w:ascii="Times New Roman" w:eastAsia="Times New Roman" w:hAnsi="Times New Roman" w:cs="Times New Roman"/>
                <w:sz w:val="20"/>
                <w:szCs w:val="20"/>
                <w:lang w:val="en-GB" w:eastAsia="es-ES"/>
              </w:rPr>
              <w:br/>
            </w:r>
          </w:p>
        </w:tc>
      </w:tr>
      <w:tr w:rsidR="005A00B9" w:rsidRPr="002C529E" w14:paraId="3EC02324" w14:textId="77777777" w:rsidTr="00EF0081">
        <w:trPr>
          <w:trHeight w:val="567"/>
        </w:trPr>
        <w:tc>
          <w:tcPr>
            <w:tcW w:w="1488" w:type="dxa"/>
            <w:shd w:val="clear" w:color="auto" w:fill="auto"/>
          </w:tcPr>
          <w:p w14:paraId="5C639792" w14:textId="20213D26" w:rsidR="005A00B9" w:rsidRPr="005B1D20" w:rsidRDefault="005A00B9" w:rsidP="00367F7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R0420/C0</w:t>
            </w:r>
            <w:r>
              <w:rPr>
                <w:rFonts w:ascii="Times New Roman" w:eastAsia="Times New Roman" w:hAnsi="Times New Roman" w:cs="Times New Roman"/>
                <w:sz w:val="20"/>
                <w:szCs w:val="20"/>
                <w:lang w:val="en-GB" w:eastAsia="es-ES"/>
              </w:rPr>
              <w:t>1</w:t>
            </w:r>
            <w:r w:rsidR="00513541">
              <w:rPr>
                <w:rFonts w:ascii="Times New Roman" w:eastAsia="Times New Roman" w:hAnsi="Times New Roman" w:cs="Times New Roman"/>
                <w:sz w:val="20"/>
                <w:szCs w:val="20"/>
                <w:lang w:val="en-GB" w:eastAsia="es-ES"/>
              </w:rPr>
              <w:t>0</w:t>
            </w:r>
            <w:r w:rsidRPr="005B1D20">
              <w:rPr>
                <w:rFonts w:ascii="Times New Roman" w:eastAsia="Times New Roman" w:hAnsi="Times New Roman" w:cs="Times New Roman"/>
                <w:sz w:val="20"/>
                <w:szCs w:val="20"/>
                <w:lang w:val="en-GB" w:eastAsia="es-ES"/>
              </w:rPr>
              <w:t>0</w:t>
            </w:r>
          </w:p>
        </w:tc>
        <w:tc>
          <w:tcPr>
            <w:tcW w:w="2551" w:type="dxa"/>
            <w:shd w:val="clear" w:color="auto" w:fill="auto"/>
          </w:tcPr>
          <w:p w14:paraId="73BAB5B8" w14:textId="0163581A" w:rsidR="005A00B9" w:rsidRPr="005B1D20" w:rsidRDefault="00625A08" w:rsidP="005B0BCC">
            <w:pPr>
              <w:spacing w:after="0" w:line="240" w:lineRule="auto"/>
              <w:rPr>
                <w:rFonts w:ascii="Times New Roman" w:eastAsia="Times New Roman" w:hAnsi="Times New Roman" w:cs="Times New Roman"/>
                <w:sz w:val="20"/>
                <w:szCs w:val="20"/>
                <w:lang w:val="en-GB" w:eastAsia="es-ES"/>
              </w:rPr>
            </w:pPr>
            <w:r w:rsidRPr="00625A08">
              <w:rPr>
                <w:rFonts w:ascii="Times New Roman" w:eastAsia="Times New Roman" w:hAnsi="Times New Roman" w:cs="Times New Roman"/>
                <w:sz w:val="20"/>
                <w:szCs w:val="20"/>
                <w:lang w:val="en-GB" w:eastAsia="es-ES"/>
              </w:rPr>
              <w:t xml:space="preserve"> </w:t>
            </w:r>
            <w:r w:rsidR="005A00B9" w:rsidRPr="005B1D20">
              <w:rPr>
                <w:rFonts w:ascii="Times New Roman" w:eastAsia="Times New Roman" w:hAnsi="Times New Roman" w:cs="Times New Roman"/>
                <w:sz w:val="20"/>
                <w:szCs w:val="20"/>
                <w:lang w:val="en-GB" w:eastAsia="es-ES"/>
              </w:rPr>
              <w:t>Total amount of notional Solvency Capital Requirements for ring</w:t>
            </w:r>
            <w:r w:rsidR="005A00B9">
              <w:rPr>
                <w:rFonts w:ascii="Times New Roman" w:eastAsia="Times New Roman" w:hAnsi="Times New Roman" w:cs="Times New Roman"/>
                <w:sz w:val="20"/>
                <w:szCs w:val="20"/>
                <w:lang w:val="en-GB" w:eastAsia="es-ES"/>
              </w:rPr>
              <w:t>-</w:t>
            </w:r>
            <w:r w:rsidR="005A00B9" w:rsidRPr="005B1D20">
              <w:rPr>
                <w:rFonts w:ascii="Times New Roman" w:eastAsia="Times New Roman" w:hAnsi="Times New Roman" w:cs="Times New Roman"/>
                <w:sz w:val="20"/>
                <w:szCs w:val="20"/>
                <w:lang w:val="en-GB" w:eastAsia="es-ES"/>
              </w:rPr>
              <w:t>fenced funds</w:t>
            </w:r>
          </w:p>
        </w:tc>
        <w:tc>
          <w:tcPr>
            <w:tcW w:w="4605" w:type="dxa"/>
            <w:shd w:val="clear" w:color="auto" w:fill="auto"/>
          </w:tcPr>
          <w:p w14:paraId="5CDA5372" w14:textId="2DC66E62" w:rsidR="005A00B9" w:rsidRPr="005B1D20" w:rsidRDefault="005A00B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Amount of the sum of notional SCRs of all ring-fenced funds</w:t>
            </w:r>
            <w:r>
              <w:rPr>
                <w:rFonts w:ascii="Times New Roman" w:eastAsia="Times New Roman" w:hAnsi="Times New Roman" w:cs="Times New Roman"/>
                <w:sz w:val="20"/>
                <w:szCs w:val="20"/>
                <w:lang w:val="en-GB" w:eastAsia="es-ES"/>
              </w:rPr>
              <w:t xml:space="preserve"> when undertaking has RFF</w:t>
            </w:r>
            <w:r w:rsidR="005B0BCC">
              <w:rPr>
                <w:rFonts w:ascii="Times New Roman" w:eastAsia="Times New Roman" w:hAnsi="Times New Roman" w:cs="Times New Roman"/>
                <w:sz w:val="20"/>
                <w:szCs w:val="20"/>
                <w:lang w:val="en-GB" w:eastAsia="es-ES"/>
              </w:rPr>
              <w:t xml:space="preserve"> </w:t>
            </w:r>
            <w:r w:rsidR="005B0BCC" w:rsidRPr="00625A08">
              <w:rPr>
                <w:rFonts w:ascii="Times New Roman" w:eastAsia="Times New Roman" w:hAnsi="Times New Roman" w:cs="Times New Roman"/>
                <w:sz w:val="20"/>
                <w:szCs w:val="20"/>
                <w:lang w:val="en-GB" w:eastAsia="es-ES"/>
              </w:rPr>
              <w:t>(other than those related to business operated in accordance with Art. 4 of Directive 2003/41/EC (transitional))</w:t>
            </w:r>
            <w:r>
              <w:rPr>
                <w:rFonts w:ascii="Times New Roman" w:eastAsia="Times New Roman" w:hAnsi="Times New Roman" w:cs="Times New Roman"/>
                <w:sz w:val="20"/>
                <w:szCs w:val="20"/>
                <w:lang w:val="en-GB" w:eastAsia="es-ES"/>
              </w:rPr>
              <w:t>.</w:t>
            </w:r>
            <w:r w:rsidRPr="005B1D20">
              <w:rPr>
                <w:rFonts w:ascii="Times New Roman" w:eastAsia="Times New Roman" w:hAnsi="Times New Roman" w:cs="Times New Roman"/>
                <w:sz w:val="20"/>
                <w:szCs w:val="20"/>
                <w:lang w:val="en-GB" w:eastAsia="es-ES"/>
              </w:rPr>
              <w:t xml:space="preserve"> </w:t>
            </w:r>
            <w:r w:rsidRPr="005B1D20">
              <w:rPr>
                <w:rFonts w:ascii="Times New Roman" w:eastAsia="Times New Roman" w:hAnsi="Times New Roman" w:cs="Times New Roman"/>
                <w:sz w:val="20"/>
                <w:szCs w:val="20"/>
                <w:lang w:val="en-GB" w:eastAsia="es-ES"/>
              </w:rPr>
              <w:br/>
            </w:r>
            <w:r w:rsidRPr="005B1D20">
              <w:rPr>
                <w:rFonts w:ascii="Times New Roman" w:eastAsia="Times New Roman" w:hAnsi="Times New Roman" w:cs="Times New Roman"/>
                <w:sz w:val="20"/>
                <w:szCs w:val="20"/>
                <w:lang w:val="en-GB" w:eastAsia="es-ES"/>
              </w:rPr>
              <w:br/>
            </w:r>
          </w:p>
        </w:tc>
      </w:tr>
      <w:tr w:rsidR="005A00B9" w:rsidRPr="002C529E" w14:paraId="18CE341B" w14:textId="77777777" w:rsidTr="00EF0081">
        <w:trPr>
          <w:trHeight w:val="567"/>
        </w:trPr>
        <w:tc>
          <w:tcPr>
            <w:tcW w:w="1488" w:type="dxa"/>
            <w:shd w:val="clear" w:color="auto" w:fill="auto"/>
          </w:tcPr>
          <w:p w14:paraId="6C10F70A" w14:textId="157FC9EB" w:rsidR="005A00B9" w:rsidRPr="005B1D20" w:rsidRDefault="005A00B9" w:rsidP="00367F7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R0430/C0</w:t>
            </w:r>
            <w:r>
              <w:rPr>
                <w:rFonts w:ascii="Times New Roman" w:eastAsia="Times New Roman" w:hAnsi="Times New Roman" w:cs="Times New Roman"/>
                <w:sz w:val="20"/>
                <w:szCs w:val="20"/>
                <w:lang w:val="en-GB" w:eastAsia="es-ES"/>
              </w:rPr>
              <w:t>1</w:t>
            </w:r>
            <w:r w:rsidR="00513541">
              <w:rPr>
                <w:rFonts w:ascii="Times New Roman" w:eastAsia="Times New Roman" w:hAnsi="Times New Roman" w:cs="Times New Roman"/>
                <w:sz w:val="20"/>
                <w:szCs w:val="20"/>
                <w:lang w:val="en-GB" w:eastAsia="es-ES"/>
              </w:rPr>
              <w:t>0</w:t>
            </w:r>
            <w:r w:rsidRPr="005B1D20">
              <w:rPr>
                <w:rFonts w:ascii="Times New Roman" w:eastAsia="Times New Roman" w:hAnsi="Times New Roman" w:cs="Times New Roman"/>
                <w:sz w:val="20"/>
                <w:szCs w:val="20"/>
                <w:lang w:val="en-GB" w:eastAsia="es-ES"/>
              </w:rPr>
              <w:t>0</w:t>
            </w:r>
          </w:p>
        </w:tc>
        <w:tc>
          <w:tcPr>
            <w:tcW w:w="2551" w:type="dxa"/>
            <w:shd w:val="clear" w:color="auto" w:fill="auto"/>
          </w:tcPr>
          <w:p w14:paraId="61E2281A" w14:textId="2B4B9624" w:rsidR="005A00B9" w:rsidRPr="005B1D20" w:rsidRDefault="005A00B9" w:rsidP="009D3A26">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Total amount of Notional Solvency Capital Requirements for matching</w:t>
            </w:r>
            <w:r w:rsidR="009D3A26">
              <w:rPr>
                <w:rFonts w:ascii="Times New Roman" w:eastAsia="Times New Roman" w:hAnsi="Times New Roman" w:cs="Times New Roman"/>
                <w:sz w:val="20"/>
                <w:szCs w:val="20"/>
                <w:lang w:val="en-GB" w:eastAsia="es-ES"/>
              </w:rPr>
              <w:t xml:space="preserve"> adjustment </w:t>
            </w:r>
            <w:r w:rsidRPr="005B1D20">
              <w:rPr>
                <w:rFonts w:ascii="Times New Roman" w:eastAsia="Times New Roman" w:hAnsi="Times New Roman" w:cs="Times New Roman"/>
                <w:sz w:val="20"/>
                <w:szCs w:val="20"/>
                <w:lang w:val="en-GB" w:eastAsia="es-ES"/>
              </w:rPr>
              <w:t xml:space="preserve">portfolios </w:t>
            </w:r>
          </w:p>
        </w:tc>
        <w:tc>
          <w:tcPr>
            <w:tcW w:w="4605" w:type="dxa"/>
            <w:shd w:val="clear" w:color="auto" w:fill="auto"/>
          </w:tcPr>
          <w:p w14:paraId="5722589A" w14:textId="0AFC1C25" w:rsidR="005A00B9" w:rsidRPr="005B1D20" w:rsidRDefault="005A00B9" w:rsidP="007A1BA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 xml:space="preserve">Amount of the sum of notional SCRs of all matching </w:t>
            </w:r>
            <w:r w:rsidR="009D3A26">
              <w:rPr>
                <w:rFonts w:ascii="Times New Roman" w:eastAsia="Times New Roman" w:hAnsi="Times New Roman" w:cs="Times New Roman"/>
                <w:sz w:val="20"/>
                <w:szCs w:val="20"/>
                <w:lang w:val="en-GB" w:eastAsia="es-ES"/>
              </w:rPr>
              <w:t xml:space="preserve">adjustment </w:t>
            </w:r>
            <w:r w:rsidRPr="005B1D20">
              <w:rPr>
                <w:rFonts w:ascii="Times New Roman" w:eastAsia="Times New Roman" w:hAnsi="Times New Roman" w:cs="Times New Roman"/>
                <w:sz w:val="20"/>
                <w:szCs w:val="20"/>
                <w:lang w:val="en-GB" w:eastAsia="es-ES"/>
              </w:rPr>
              <w:t>portfolios.</w:t>
            </w:r>
          </w:p>
          <w:p w14:paraId="3C2955D2" w14:textId="0B61D77B" w:rsidR="005A00B9" w:rsidRPr="005B1D20" w:rsidRDefault="005A00B9" w:rsidP="007A1BA9">
            <w:pPr>
              <w:spacing w:after="0" w:line="240" w:lineRule="auto"/>
              <w:rPr>
                <w:rFonts w:ascii="Times New Roman" w:eastAsia="Times New Roman" w:hAnsi="Times New Roman" w:cs="Times New Roman"/>
                <w:sz w:val="20"/>
                <w:szCs w:val="20"/>
                <w:lang w:val="en-GB" w:eastAsia="es-ES"/>
              </w:rPr>
            </w:pPr>
          </w:p>
        </w:tc>
      </w:tr>
      <w:tr w:rsidR="005A00B9" w:rsidRPr="002C529E" w14:paraId="6282E683" w14:textId="77777777" w:rsidTr="00EF0081">
        <w:trPr>
          <w:trHeight w:val="567"/>
        </w:trPr>
        <w:tc>
          <w:tcPr>
            <w:tcW w:w="1488" w:type="dxa"/>
            <w:shd w:val="clear" w:color="auto" w:fill="auto"/>
          </w:tcPr>
          <w:p w14:paraId="24CE1A36" w14:textId="7B257B0C" w:rsidR="005A00B9" w:rsidRPr="005B1D20" w:rsidRDefault="005A00B9" w:rsidP="00367F7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R0440/C0</w:t>
            </w:r>
            <w:r>
              <w:rPr>
                <w:rFonts w:ascii="Times New Roman" w:eastAsia="Times New Roman" w:hAnsi="Times New Roman" w:cs="Times New Roman"/>
                <w:sz w:val="20"/>
                <w:szCs w:val="20"/>
                <w:lang w:val="en-GB" w:eastAsia="es-ES"/>
              </w:rPr>
              <w:t>1</w:t>
            </w:r>
            <w:r w:rsidR="00513541">
              <w:rPr>
                <w:rFonts w:ascii="Times New Roman" w:eastAsia="Times New Roman" w:hAnsi="Times New Roman" w:cs="Times New Roman"/>
                <w:sz w:val="20"/>
                <w:szCs w:val="20"/>
                <w:lang w:val="en-GB" w:eastAsia="es-ES"/>
              </w:rPr>
              <w:t>0</w:t>
            </w:r>
            <w:r w:rsidRPr="005B1D20">
              <w:rPr>
                <w:rFonts w:ascii="Times New Roman" w:eastAsia="Times New Roman" w:hAnsi="Times New Roman" w:cs="Times New Roman"/>
                <w:sz w:val="20"/>
                <w:szCs w:val="20"/>
                <w:lang w:val="en-GB" w:eastAsia="es-ES"/>
              </w:rPr>
              <w:t>0</w:t>
            </w:r>
          </w:p>
        </w:tc>
        <w:tc>
          <w:tcPr>
            <w:tcW w:w="2551" w:type="dxa"/>
            <w:shd w:val="clear" w:color="auto" w:fill="auto"/>
          </w:tcPr>
          <w:p w14:paraId="11D05A05" w14:textId="613AC730" w:rsidR="005A00B9" w:rsidRPr="005B1D20" w:rsidRDefault="005A00B9" w:rsidP="007A1BA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Diversification effects due to RFF nSCR aggregation for article 304</w:t>
            </w:r>
          </w:p>
        </w:tc>
        <w:tc>
          <w:tcPr>
            <w:tcW w:w="4605" w:type="dxa"/>
            <w:shd w:val="clear" w:color="auto" w:fill="auto"/>
          </w:tcPr>
          <w:p w14:paraId="7E94B28A" w14:textId="77777777" w:rsidR="005A00B9" w:rsidRDefault="005A00B9">
            <w:pPr>
              <w:spacing w:after="0" w:line="240" w:lineRule="auto"/>
              <w:rPr>
                <w:rFonts w:ascii="Times New Roman" w:eastAsia="Times New Roman" w:hAnsi="Times New Roman" w:cs="Times New Roman"/>
                <w:sz w:val="20"/>
                <w:szCs w:val="20"/>
                <w:lang w:val="en-GB" w:eastAsia="es-ES"/>
              </w:rPr>
            </w:pPr>
            <w:r w:rsidRPr="005B1D20">
              <w:rPr>
                <w:rFonts w:ascii="Times New Roman" w:eastAsia="Times New Roman" w:hAnsi="Times New Roman" w:cs="Times New Roman"/>
                <w:sz w:val="20"/>
                <w:szCs w:val="20"/>
                <w:lang w:val="en-GB" w:eastAsia="es-ES"/>
              </w:rPr>
              <w:t xml:space="preserve">Amount of the adjustment for a diversification effect between ring-fenced funds under Article 304 </w:t>
            </w:r>
            <w:r>
              <w:rPr>
                <w:rFonts w:ascii="Times New Roman" w:eastAsia="Times New Roman" w:hAnsi="Times New Roman" w:cs="Times New Roman"/>
                <w:sz w:val="20"/>
                <w:szCs w:val="20"/>
                <w:lang w:val="en-GB" w:eastAsia="es-ES"/>
              </w:rPr>
              <w:t xml:space="preserve">of Directive 2009/138/EC </w:t>
            </w:r>
            <w:r w:rsidRPr="005B1D20">
              <w:rPr>
                <w:rFonts w:ascii="Times New Roman" w:eastAsia="Times New Roman" w:hAnsi="Times New Roman" w:cs="Times New Roman"/>
                <w:sz w:val="20"/>
                <w:szCs w:val="20"/>
                <w:lang w:val="en-GB" w:eastAsia="es-ES"/>
              </w:rPr>
              <w:t>and</w:t>
            </w:r>
            <w:r>
              <w:rPr>
                <w:rFonts w:ascii="Times New Roman" w:eastAsia="Times New Roman" w:hAnsi="Times New Roman" w:cs="Times New Roman"/>
                <w:sz w:val="20"/>
                <w:szCs w:val="20"/>
                <w:lang w:val="en-GB" w:eastAsia="es-ES"/>
              </w:rPr>
              <w:t xml:space="preserve"> the </w:t>
            </w:r>
            <w:r w:rsidRPr="005B1D20">
              <w:rPr>
                <w:rFonts w:ascii="Times New Roman" w:eastAsia="Times New Roman" w:hAnsi="Times New Roman" w:cs="Times New Roman"/>
                <w:sz w:val="20"/>
                <w:szCs w:val="20"/>
                <w:lang w:val="en-GB" w:eastAsia="es-ES"/>
              </w:rPr>
              <w:t xml:space="preserve">remaining part. </w:t>
            </w:r>
          </w:p>
          <w:p w14:paraId="681D3913" w14:textId="77777777" w:rsidR="005A00B9" w:rsidRDefault="005A00B9">
            <w:pPr>
              <w:spacing w:after="0" w:line="240" w:lineRule="auto"/>
              <w:rPr>
                <w:rFonts w:ascii="Times New Roman" w:eastAsia="Times New Roman" w:hAnsi="Times New Roman" w:cs="Times New Roman"/>
                <w:sz w:val="20"/>
                <w:szCs w:val="20"/>
                <w:lang w:val="en-GB" w:eastAsia="es-ES"/>
              </w:rPr>
            </w:pPr>
          </w:p>
          <w:p w14:paraId="011A217A" w14:textId="3AD89A04" w:rsidR="005A00B9" w:rsidRPr="005B1D20" w:rsidRDefault="005A00B9" w:rsidP="005A00B9">
            <w:pPr>
              <w:spacing w:after="0" w:line="240" w:lineRule="auto"/>
              <w:rPr>
                <w:rFonts w:ascii="Times New Roman" w:eastAsia="Times New Roman" w:hAnsi="Times New Roman" w:cs="Times New Roman"/>
                <w:sz w:val="20"/>
                <w:szCs w:val="20"/>
                <w:lang w:val="en-GB" w:eastAsia="es-ES"/>
              </w:rPr>
            </w:pPr>
            <w:r w:rsidRPr="00EF0081">
              <w:rPr>
                <w:rFonts w:ascii="Times New Roman" w:eastAsia="Times New Roman" w:hAnsi="Times New Roman" w:cs="Times New Roman"/>
                <w:sz w:val="20"/>
                <w:szCs w:val="20"/>
                <w:lang w:val="en-GB" w:eastAsia="es-ES"/>
              </w:rPr>
              <w:t>It shall be equal to the difference between the sum of the nSCR for each RFF/MAP/RP and the total SCR</w:t>
            </w:r>
            <w:r>
              <w:rPr>
                <w:rFonts w:ascii="Times New Roman" w:eastAsia="Times New Roman" w:hAnsi="Times New Roman" w:cs="Times New Roman"/>
                <w:sz w:val="20"/>
                <w:szCs w:val="20"/>
                <w:lang w:val="en-GB" w:eastAsia="es-ES"/>
              </w:rPr>
              <w:t>.</w:t>
            </w:r>
          </w:p>
        </w:tc>
      </w:tr>
      <w:tr w:rsidR="006421B7" w:rsidRPr="00934C1A" w14:paraId="2AC9217F" w14:textId="77777777" w:rsidTr="006421B7">
        <w:trPr>
          <w:trHeight w:val="56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0CA1385E" w14:textId="28C9E510" w:rsidR="006421B7" w:rsidRPr="00934C1A" w:rsidRDefault="006421B7" w:rsidP="00367F7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R0470/C01</w:t>
            </w:r>
            <w:r w:rsidR="00513541">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FFC1809"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Minimum consolidated group solvency capital requirement</w:t>
            </w:r>
          </w:p>
        </w:tc>
        <w:tc>
          <w:tcPr>
            <w:tcW w:w="4605" w:type="dxa"/>
            <w:tcBorders>
              <w:top w:val="single" w:sz="4" w:space="0" w:color="auto"/>
              <w:left w:val="single" w:sz="4" w:space="0" w:color="auto"/>
              <w:bottom w:val="single" w:sz="4" w:space="0" w:color="auto"/>
              <w:right w:val="single" w:sz="4" w:space="0" w:color="auto"/>
            </w:tcBorders>
            <w:shd w:val="clear" w:color="auto" w:fill="auto"/>
          </w:tcPr>
          <w:p w14:paraId="2532D95A"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minimum consolidated group Solvency Capital Requirement as stated in art. 230 of Directive 2009/138/EC. This item is applicable to group reporting only.</w:t>
            </w:r>
          </w:p>
        </w:tc>
      </w:tr>
      <w:tr w:rsidR="00625A08" w:rsidRPr="00E93329" w14:paraId="6B0ECECF" w14:textId="77777777" w:rsidTr="00261179">
        <w:trPr>
          <w:trHeight w:val="339"/>
        </w:trPr>
        <w:tc>
          <w:tcPr>
            <w:tcW w:w="8644" w:type="dxa"/>
            <w:gridSpan w:val="3"/>
            <w:shd w:val="clear" w:color="auto" w:fill="auto"/>
            <w:vAlign w:val="center"/>
          </w:tcPr>
          <w:p w14:paraId="5909E123" w14:textId="07842521" w:rsidR="00625A08" w:rsidRPr="005B1D20" w:rsidRDefault="00625A08" w:rsidP="00261179">
            <w:pPr>
              <w:spacing w:after="0" w:line="240" w:lineRule="auto"/>
              <w:rPr>
                <w:rFonts w:ascii="Times New Roman" w:eastAsia="Times New Roman" w:hAnsi="Times New Roman" w:cs="Times New Roman"/>
                <w:b/>
                <w:sz w:val="20"/>
                <w:szCs w:val="20"/>
                <w:lang w:val="en-GB" w:eastAsia="es-ES"/>
              </w:rPr>
            </w:pPr>
            <w:r w:rsidRPr="00625A08">
              <w:rPr>
                <w:rFonts w:ascii="Times New Roman" w:eastAsia="Times New Roman" w:hAnsi="Times New Roman" w:cs="Times New Roman"/>
                <w:b/>
                <w:sz w:val="20"/>
                <w:szCs w:val="20"/>
                <w:lang w:val="en-GB" w:eastAsia="es-ES"/>
              </w:rPr>
              <w:t>Information on other entities</w:t>
            </w:r>
          </w:p>
        </w:tc>
      </w:tr>
      <w:tr w:rsidR="006421B7" w:rsidRPr="00934C1A" w14:paraId="54C771F8" w14:textId="77777777" w:rsidTr="006421B7">
        <w:trPr>
          <w:trHeight w:val="56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2477317" w14:textId="4E4272E6" w:rsidR="006421B7" w:rsidRPr="00934C1A" w:rsidRDefault="006421B7" w:rsidP="00367F7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R0500/C01</w:t>
            </w:r>
            <w:r w:rsidR="00513541">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17221B" w14:textId="77777777" w:rsidR="006421B7" w:rsidRPr="00934C1A" w:rsidDel="009860F4"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w:t>
            </w:r>
          </w:p>
        </w:tc>
        <w:tc>
          <w:tcPr>
            <w:tcW w:w="4605" w:type="dxa"/>
            <w:tcBorders>
              <w:top w:val="single" w:sz="4" w:space="0" w:color="auto"/>
              <w:left w:val="single" w:sz="4" w:space="0" w:color="auto"/>
              <w:bottom w:val="single" w:sz="4" w:space="0" w:color="auto"/>
              <w:right w:val="single" w:sz="4" w:space="0" w:color="auto"/>
            </w:tcBorders>
            <w:shd w:val="clear" w:color="auto" w:fill="auto"/>
          </w:tcPr>
          <w:p w14:paraId="14844891"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other financial sectors. </w:t>
            </w:r>
          </w:p>
          <w:p w14:paraId="31E0A597"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p>
          <w:p w14:paraId="123D4D34"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item is only applicable to group reporting where the group includes an undertaking which is subject to non-insurance capital requirements, such as a bank, and is the capital requirement calculated in accordance with the appropriate requirements. </w:t>
            </w:r>
            <w:r w:rsidRPr="00934C1A">
              <w:rPr>
                <w:rFonts w:ascii="Times New Roman" w:eastAsia="Times New Roman" w:hAnsi="Times New Roman" w:cs="Times New Roman"/>
                <w:sz w:val="20"/>
                <w:szCs w:val="20"/>
                <w:lang w:val="en-GB" w:eastAsia="es-ES"/>
              </w:rPr>
              <w:br/>
            </w:r>
          </w:p>
        </w:tc>
      </w:tr>
      <w:tr w:rsidR="006421B7" w:rsidRPr="00934C1A" w14:paraId="763D8A4A" w14:textId="77777777" w:rsidTr="006421B7">
        <w:trPr>
          <w:trHeight w:val="56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0AE5E38E" w14:textId="69E449B7" w:rsidR="006421B7" w:rsidRPr="00934C1A" w:rsidRDefault="006421B7" w:rsidP="00367F7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R0510/C01</w:t>
            </w:r>
            <w:r w:rsidR="00513541">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05771D7" w14:textId="77777777" w:rsidR="006421B7" w:rsidRPr="00934C1A" w:rsidDel="009860F4"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 - Credit  institutions, investment firms and financial institutions, alternative investment funds managers, UCITS management companies</w:t>
            </w:r>
          </w:p>
        </w:tc>
        <w:tc>
          <w:tcPr>
            <w:tcW w:w="4605" w:type="dxa"/>
            <w:tcBorders>
              <w:top w:val="single" w:sz="4" w:space="0" w:color="auto"/>
              <w:left w:val="single" w:sz="4" w:space="0" w:color="auto"/>
              <w:bottom w:val="single" w:sz="4" w:space="0" w:color="auto"/>
              <w:right w:val="single" w:sz="4" w:space="0" w:color="auto"/>
            </w:tcBorders>
            <w:shd w:val="clear" w:color="auto" w:fill="auto"/>
          </w:tcPr>
          <w:p w14:paraId="25B718DE"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credit institutions, investment firms and financial institutions. </w:t>
            </w:r>
          </w:p>
          <w:p w14:paraId="7C41CA15"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p>
          <w:p w14:paraId="02F2907D"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w:t>
            </w:r>
            <w:proofErr w:type="spellStart"/>
            <w:r w:rsidRPr="00934C1A">
              <w:rPr>
                <w:rFonts w:ascii="Times New Roman" w:eastAsia="Times New Roman" w:hAnsi="Times New Roman" w:cs="Times New Roman"/>
                <w:sz w:val="20"/>
                <w:szCs w:val="20"/>
                <w:lang w:val="en-GB" w:eastAsia="es-ES"/>
              </w:rPr>
              <w:t>sectoral</w:t>
            </w:r>
            <w:proofErr w:type="spellEnd"/>
            <w:r w:rsidRPr="00934C1A">
              <w:rPr>
                <w:rFonts w:ascii="Times New Roman" w:eastAsia="Times New Roman" w:hAnsi="Times New Roman" w:cs="Times New Roman"/>
                <w:sz w:val="20"/>
                <w:szCs w:val="20"/>
                <w:lang w:val="en-GB" w:eastAsia="es-ES"/>
              </w:rPr>
              <w:t xml:space="preserve"> rules. </w:t>
            </w:r>
          </w:p>
          <w:p w14:paraId="2E9DC93A"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p>
        </w:tc>
      </w:tr>
      <w:tr w:rsidR="006421B7" w:rsidRPr="00934C1A" w14:paraId="7EFD2E84" w14:textId="77777777" w:rsidTr="006421B7">
        <w:trPr>
          <w:trHeight w:val="56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0120276" w14:textId="402709BE" w:rsidR="006421B7" w:rsidRPr="00934C1A" w:rsidRDefault="006421B7" w:rsidP="00367F7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R0520/C01</w:t>
            </w:r>
            <w:r w:rsidR="00513541">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DF5501F" w14:textId="77777777" w:rsidR="006421B7" w:rsidRPr="00934C1A" w:rsidDel="009860F4"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 - Institutions for occupational retirement provisions</w:t>
            </w:r>
          </w:p>
        </w:tc>
        <w:tc>
          <w:tcPr>
            <w:tcW w:w="4605" w:type="dxa"/>
            <w:tcBorders>
              <w:top w:val="single" w:sz="4" w:space="0" w:color="auto"/>
              <w:left w:val="single" w:sz="4" w:space="0" w:color="auto"/>
              <w:bottom w:val="single" w:sz="4" w:space="0" w:color="auto"/>
              <w:right w:val="single" w:sz="4" w:space="0" w:color="auto"/>
            </w:tcBorders>
            <w:shd w:val="clear" w:color="auto" w:fill="auto"/>
          </w:tcPr>
          <w:p w14:paraId="170F7447"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institutions for occupational retirement provisions. </w:t>
            </w:r>
          </w:p>
          <w:p w14:paraId="46EC986A"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p>
          <w:p w14:paraId="7DA0056D"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item is only applicable to group reporting where the group includes undertaking which are institutions for occupational retirement provision and subject to non-insurance capital requirements calculated in accordance with the relevant </w:t>
            </w:r>
            <w:proofErr w:type="spellStart"/>
            <w:r w:rsidRPr="00934C1A">
              <w:rPr>
                <w:rFonts w:ascii="Times New Roman" w:eastAsia="Times New Roman" w:hAnsi="Times New Roman" w:cs="Times New Roman"/>
                <w:sz w:val="20"/>
                <w:szCs w:val="20"/>
                <w:lang w:val="en-GB" w:eastAsia="es-ES"/>
              </w:rPr>
              <w:t>sectoral</w:t>
            </w:r>
            <w:proofErr w:type="spellEnd"/>
            <w:r w:rsidRPr="00934C1A">
              <w:rPr>
                <w:rFonts w:ascii="Times New Roman" w:eastAsia="Times New Roman" w:hAnsi="Times New Roman" w:cs="Times New Roman"/>
                <w:sz w:val="20"/>
                <w:szCs w:val="20"/>
                <w:lang w:val="en-GB" w:eastAsia="es-ES"/>
              </w:rPr>
              <w:t xml:space="preserve"> rules. </w:t>
            </w:r>
            <w:r w:rsidRPr="00934C1A">
              <w:rPr>
                <w:rFonts w:ascii="Times New Roman" w:eastAsia="Times New Roman" w:hAnsi="Times New Roman" w:cs="Times New Roman"/>
                <w:sz w:val="20"/>
                <w:szCs w:val="20"/>
                <w:lang w:val="en-GB" w:eastAsia="es-ES"/>
              </w:rPr>
              <w:br/>
            </w:r>
          </w:p>
        </w:tc>
      </w:tr>
      <w:tr w:rsidR="006421B7" w:rsidRPr="00934C1A" w14:paraId="110BF598" w14:textId="77777777" w:rsidTr="006421B7">
        <w:trPr>
          <w:trHeight w:val="56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28AB763" w14:textId="2A86F6F0" w:rsidR="006421B7" w:rsidRPr="00934C1A" w:rsidRDefault="006421B7" w:rsidP="00367F7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R0530/C01</w:t>
            </w:r>
            <w:r w:rsidR="00513541">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EAA1E24" w14:textId="77777777" w:rsidR="006421B7" w:rsidRPr="00934C1A" w:rsidDel="009860F4"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 - Capital requirement for non-regulated entities carrying out financial activities</w:t>
            </w:r>
          </w:p>
        </w:tc>
        <w:tc>
          <w:tcPr>
            <w:tcW w:w="4605" w:type="dxa"/>
            <w:tcBorders>
              <w:top w:val="single" w:sz="4" w:space="0" w:color="auto"/>
              <w:left w:val="single" w:sz="4" w:space="0" w:color="auto"/>
              <w:bottom w:val="single" w:sz="4" w:space="0" w:color="auto"/>
              <w:right w:val="single" w:sz="4" w:space="0" w:color="auto"/>
            </w:tcBorders>
            <w:shd w:val="clear" w:color="auto" w:fill="auto"/>
          </w:tcPr>
          <w:p w14:paraId="3F53285D"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non-regulated entities carrying out financial activities. This figure represents a notional solvency requirement, calculated if the relevant </w:t>
            </w:r>
            <w:proofErr w:type="spellStart"/>
            <w:r w:rsidRPr="00934C1A">
              <w:rPr>
                <w:rFonts w:ascii="Times New Roman" w:eastAsia="Times New Roman" w:hAnsi="Times New Roman" w:cs="Times New Roman"/>
                <w:sz w:val="20"/>
                <w:szCs w:val="20"/>
                <w:lang w:val="en-GB" w:eastAsia="es-ES"/>
              </w:rPr>
              <w:t>sectoral</w:t>
            </w:r>
            <w:proofErr w:type="spellEnd"/>
            <w:r w:rsidRPr="00934C1A">
              <w:rPr>
                <w:rFonts w:ascii="Times New Roman" w:eastAsia="Times New Roman" w:hAnsi="Times New Roman" w:cs="Times New Roman"/>
                <w:sz w:val="20"/>
                <w:szCs w:val="20"/>
                <w:lang w:val="en-GB" w:eastAsia="es-ES"/>
              </w:rPr>
              <w:t xml:space="preserve"> rules were to be applied.</w:t>
            </w:r>
          </w:p>
          <w:p w14:paraId="74405717"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p>
          <w:p w14:paraId="635A0F5B"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item is only applicable to group reporting where the group includes undertakings which are </w:t>
            </w:r>
            <w:proofErr w:type="gramStart"/>
            <w:r w:rsidRPr="00934C1A">
              <w:rPr>
                <w:rFonts w:ascii="Times New Roman" w:eastAsia="Times New Roman" w:hAnsi="Times New Roman" w:cs="Times New Roman"/>
                <w:sz w:val="20"/>
                <w:szCs w:val="20"/>
                <w:lang w:val="en-GB" w:eastAsia="es-ES"/>
              </w:rPr>
              <w:t>non</w:t>
            </w:r>
            <w:proofErr w:type="gramEnd"/>
            <w:r w:rsidRPr="00934C1A">
              <w:rPr>
                <w:rFonts w:ascii="Times New Roman" w:eastAsia="Times New Roman" w:hAnsi="Times New Roman" w:cs="Times New Roman"/>
                <w:sz w:val="20"/>
                <w:szCs w:val="20"/>
                <w:lang w:val="en-GB" w:eastAsia="es-ES"/>
              </w:rPr>
              <w:t xml:space="preserve"> - regulated entities carrying out financial activities. </w:t>
            </w:r>
            <w:r w:rsidRPr="00934C1A">
              <w:rPr>
                <w:rFonts w:ascii="Times New Roman" w:eastAsia="Times New Roman" w:hAnsi="Times New Roman" w:cs="Times New Roman"/>
                <w:sz w:val="20"/>
                <w:szCs w:val="20"/>
                <w:lang w:val="en-GB" w:eastAsia="es-ES"/>
              </w:rPr>
              <w:br/>
            </w:r>
          </w:p>
        </w:tc>
      </w:tr>
      <w:tr w:rsidR="006421B7" w:rsidRPr="00934C1A" w14:paraId="38CD3CFC" w14:textId="77777777" w:rsidTr="006421B7">
        <w:trPr>
          <w:trHeight w:val="56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FD22627" w14:textId="739BBA6F" w:rsidR="006421B7" w:rsidRPr="00934C1A" w:rsidRDefault="006421B7" w:rsidP="00367F7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R0540/C01</w:t>
            </w:r>
            <w:r w:rsidR="00513541">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7C0E6A80" w14:textId="77777777" w:rsidR="006421B7" w:rsidRPr="00934C1A" w:rsidDel="009860F4"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non-controlled participation requirements</w:t>
            </w:r>
          </w:p>
        </w:tc>
        <w:tc>
          <w:tcPr>
            <w:tcW w:w="4605" w:type="dxa"/>
            <w:tcBorders>
              <w:top w:val="single" w:sz="4" w:space="0" w:color="auto"/>
              <w:left w:val="single" w:sz="4" w:space="0" w:color="auto"/>
              <w:bottom w:val="single" w:sz="4" w:space="0" w:color="auto"/>
              <w:right w:val="single" w:sz="4" w:space="0" w:color="auto"/>
            </w:tcBorders>
            <w:shd w:val="clear" w:color="auto" w:fill="auto"/>
          </w:tcPr>
          <w:p w14:paraId="5018A384"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proportional share of the Solvency Capital Requirements of the related insurance and reinsurance undertakings and insurance holding companies which are not subsidiaries.</w:t>
            </w:r>
          </w:p>
          <w:p w14:paraId="5C45D1E6"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 </w:t>
            </w:r>
          </w:p>
          <w:p w14:paraId="7D924150"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item is only applicable to group reporting and corresponds, for those entities which are not subsidiaries, to the capital requirement calculated in accordance with Solvency 2.</w:t>
            </w:r>
          </w:p>
          <w:p w14:paraId="6EE09551"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p>
        </w:tc>
      </w:tr>
      <w:tr w:rsidR="006421B7" w:rsidRPr="00934C1A" w14:paraId="725C9DB4" w14:textId="77777777" w:rsidTr="006421B7">
        <w:trPr>
          <w:trHeight w:val="56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4A9736D" w14:textId="27FB7081" w:rsidR="006421B7" w:rsidRPr="00934C1A" w:rsidRDefault="006421B7" w:rsidP="00513541">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R0550/C01</w:t>
            </w:r>
            <w:r w:rsidR="00513541">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3BDFB4E" w14:textId="77777777" w:rsidR="006421B7" w:rsidRPr="00934C1A" w:rsidDel="009860F4" w:rsidRDefault="006421B7" w:rsidP="001068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residual undertakings</w:t>
            </w:r>
          </w:p>
        </w:tc>
        <w:tc>
          <w:tcPr>
            <w:tcW w:w="4605" w:type="dxa"/>
            <w:tcBorders>
              <w:top w:val="single" w:sz="4" w:space="0" w:color="auto"/>
              <w:left w:val="single" w:sz="4" w:space="0" w:color="auto"/>
              <w:bottom w:val="single" w:sz="4" w:space="0" w:color="auto"/>
              <w:right w:val="single" w:sz="4" w:space="0" w:color="auto"/>
            </w:tcBorders>
            <w:shd w:val="clear" w:color="auto" w:fill="auto"/>
          </w:tcPr>
          <w:p w14:paraId="0A5ECFF5" w14:textId="59598350" w:rsidR="006421B7" w:rsidRPr="00934C1A" w:rsidRDefault="006421B7" w:rsidP="009D6F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determined in accordance with </w:t>
            </w:r>
            <w:r>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336 (1) (d) </w:t>
            </w:r>
            <w:r w:rsidRPr="006421B7">
              <w:rPr>
                <w:rFonts w:ascii="Times New Roman" w:eastAsia="Times New Roman" w:hAnsi="Times New Roman" w:cs="Times New Roman"/>
                <w:sz w:val="20"/>
                <w:szCs w:val="20"/>
                <w:lang w:val="en-GB" w:eastAsia="es-ES"/>
              </w:rPr>
              <w:t xml:space="preserve">of </w:t>
            </w:r>
            <w:r w:rsidR="009D6FF3">
              <w:rPr>
                <w:rFonts w:ascii="Times New Roman" w:eastAsia="Times New Roman" w:hAnsi="Times New Roman" w:cs="Times New Roman"/>
                <w:sz w:val="20"/>
                <w:szCs w:val="20"/>
                <w:lang w:val="en-GB" w:eastAsia="es-ES"/>
              </w:rPr>
              <w:t>Delegated Regulation (EU) 2015/35</w:t>
            </w:r>
            <w:r w:rsidRPr="00934C1A">
              <w:rPr>
                <w:rFonts w:ascii="Times New Roman" w:eastAsia="Times New Roman" w:hAnsi="Times New Roman" w:cs="Times New Roman"/>
                <w:sz w:val="20"/>
                <w:szCs w:val="20"/>
                <w:lang w:val="en-GB" w:eastAsia="es-ES"/>
              </w:rPr>
              <w:t>.</w:t>
            </w:r>
          </w:p>
        </w:tc>
      </w:tr>
      <w:tr w:rsidR="00774F9F" w:rsidRPr="00E93329" w14:paraId="31B854A7" w14:textId="77777777" w:rsidTr="00261179">
        <w:trPr>
          <w:trHeight w:val="339"/>
        </w:trPr>
        <w:tc>
          <w:tcPr>
            <w:tcW w:w="8644" w:type="dxa"/>
            <w:gridSpan w:val="3"/>
            <w:shd w:val="clear" w:color="auto" w:fill="auto"/>
            <w:vAlign w:val="center"/>
          </w:tcPr>
          <w:p w14:paraId="6102565F" w14:textId="64022685" w:rsidR="00774F9F" w:rsidRPr="005B1D20" w:rsidRDefault="00774F9F" w:rsidP="00261179">
            <w:pPr>
              <w:spacing w:after="0" w:line="240" w:lineRule="auto"/>
              <w:rPr>
                <w:rFonts w:ascii="Times New Roman" w:eastAsia="Times New Roman" w:hAnsi="Times New Roman" w:cs="Times New Roman"/>
                <w:b/>
                <w:sz w:val="20"/>
                <w:szCs w:val="20"/>
                <w:lang w:val="en-GB" w:eastAsia="es-ES"/>
              </w:rPr>
            </w:pPr>
            <w:r w:rsidRPr="00774F9F">
              <w:rPr>
                <w:rFonts w:ascii="Times New Roman" w:eastAsia="Times New Roman" w:hAnsi="Times New Roman" w:cs="Times New Roman"/>
                <w:b/>
                <w:sz w:val="20"/>
                <w:szCs w:val="20"/>
                <w:lang w:val="en-GB" w:eastAsia="es-ES"/>
              </w:rPr>
              <w:t>Overall SCR</w:t>
            </w:r>
          </w:p>
        </w:tc>
      </w:tr>
      <w:tr w:rsidR="006421B7" w:rsidRPr="00934C1A" w14:paraId="61D92CCC" w14:textId="77777777" w:rsidTr="006421B7">
        <w:trPr>
          <w:trHeight w:val="56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61AE8F7" w14:textId="7417DC9B" w:rsidR="006421B7" w:rsidRPr="006421B7" w:rsidRDefault="006421B7" w:rsidP="00106810">
            <w:pPr>
              <w:spacing w:after="0" w:line="240" w:lineRule="auto"/>
              <w:rPr>
                <w:rFonts w:ascii="Times New Roman" w:eastAsia="Times New Roman" w:hAnsi="Times New Roman" w:cs="Times New Roman"/>
                <w:sz w:val="20"/>
                <w:szCs w:val="20"/>
                <w:lang w:val="en-GB" w:eastAsia="es-ES"/>
              </w:rPr>
            </w:pPr>
            <w:r w:rsidRPr="006421B7">
              <w:rPr>
                <w:rFonts w:ascii="Times New Roman" w:eastAsia="Times New Roman" w:hAnsi="Times New Roman" w:cs="Times New Roman"/>
                <w:sz w:val="20"/>
                <w:szCs w:val="20"/>
                <w:lang w:val="en-GB" w:eastAsia="es-ES"/>
              </w:rPr>
              <w:t>R0560/C01</w:t>
            </w:r>
            <w:r w:rsidR="00513541">
              <w:rPr>
                <w:rFonts w:ascii="Times New Roman" w:eastAsia="Times New Roman" w:hAnsi="Times New Roman" w:cs="Times New Roman"/>
                <w:sz w:val="20"/>
                <w:szCs w:val="20"/>
                <w:lang w:val="en-GB" w:eastAsia="es-ES"/>
              </w:rPr>
              <w:t>0</w:t>
            </w:r>
            <w:r w:rsidRPr="006421B7">
              <w:rPr>
                <w:rFonts w:ascii="Times New Roman" w:eastAsia="Times New Roman" w:hAnsi="Times New Roman" w:cs="Times New Roman"/>
                <w:sz w:val="20"/>
                <w:szCs w:val="20"/>
                <w:lang w:val="en-GB" w:eastAsia="es-ES"/>
              </w:rPr>
              <w:t>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1683F32" w14:textId="77777777" w:rsidR="006421B7" w:rsidRPr="006421B7" w:rsidRDefault="006421B7" w:rsidP="00106810">
            <w:pPr>
              <w:spacing w:after="0" w:line="240" w:lineRule="auto"/>
              <w:rPr>
                <w:rFonts w:ascii="Times New Roman" w:eastAsia="Times New Roman" w:hAnsi="Times New Roman" w:cs="Times New Roman"/>
                <w:sz w:val="20"/>
                <w:szCs w:val="20"/>
                <w:lang w:val="en-GB" w:eastAsia="es-ES"/>
              </w:rPr>
            </w:pPr>
            <w:r w:rsidRPr="006421B7">
              <w:rPr>
                <w:rFonts w:ascii="Times New Roman" w:eastAsia="Times New Roman" w:hAnsi="Times New Roman" w:cs="Times New Roman"/>
                <w:sz w:val="20"/>
                <w:szCs w:val="20"/>
                <w:lang w:val="en-GB" w:eastAsia="es-ES"/>
              </w:rPr>
              <w:t>SCR for undertakings included via D and A</w:t>
            </w:r>
          </w:p>
        </w:tc>
        <w:tc>
          <w:tcPr>
            <w:tcW w:w="4605" w:type="dxa"/>
            <w:tcBorders>
              <w:top w:val="single" w:sz="4" w:space="0" w:color="auto"/>
              <w:left w:val="single" w:sz="4" w:space="0" w:color="auto"/>
              <w:bottom w:val="single" w:sz="4" w:space="0" w:color="auto"/>
              <w:right w:val="single" w:sz="4" w:space="0" w:color="auto"/>
            </w:tcBorders>
            <w:shd w:val="clear" w:color="auto" w:fill="auto"/>
          </w:tcPr>
          <w:p w14:paraId="074D377C" w14:textId="52770BB0" w:rsidR="006421B7" w:rsidRPr="006421B7" w:rsidRDefault="006421B7" w:rsidP="00106810">
            <w:pPr>
              <w:spacing w:after="0" w:line="240" w:lineRule="auto"/>
              <w:rPr>
                <w:rFonts w:ascii="Times New Roman" w:eastAsia="Times New Roman" w:hAnsi="Times New Roman" w:cs="Times New Roman"/>
                <w:sz w:val="20"/>
                <w:szCs w:val="20"/>
                <w:lang w:val="en-GB" w:eastAsia="es-ES"/>
              </w:rPr>
            </w:pPr>
            <w:r w:rsidRPr="006421B7">
              <w:rPr>
                <w:rFonts w:ascii="Times New Roman" w:eastAsia="Times New Roman" w:hAnsi="Times New Roman" w:cs="Times New Roman"/>
                <w:sz w:val="20"/>
                <w:szCs w:val="20"/>
                <w:lang w:val="en-GB" w:eastAsia="es-ES"/>
              </w:rPr>
              <w:t>Amount of the Solvency Capital Requirement Solvency for undertakings included under method 2 as defined in Article 233 of Directive</w:t>
            </w:r>
            <w:r w:rsidR="00557832">
              <w:rPr>
                <w:rFonts w:ascii="Times New Roman" w:eastAsia="Times New Roman" w:hAnsi="Times New Roman" w:cs="Times New Roman"/>
                <w:sz w:val="20"/>
                <w:szCs w:val="20"/>
                <w:lang w:val="en-GB" w:eastAsia="es-ES"/>
              </w:rPr>
              <w:t xml:space="preserve"> 2009/138/EC when the combination of methods is used.</w:t>
            </w:r>
          </w:p>
          <w:p w14:paraId="38564D1D" w14:textId="77777777" w:rsidR="006421B7" w:rsidRPr="006421B7" w:rsidRDefault="006421B7" w:rsidP="00106810">
            <w:pPr>
              <w:spacing w:after="0" w:line="240" w:lineRule="auto"/>
              <w:rPr>
                <w:rFonts w:ascii="Times New Roman" w:eastAsia="Times New Roman" w:hAnsi="Times New Roman" w:cs="Times New Roman"/>
                <w:sz w:val="20"/>
                <w:szCs w:val="20"/>
                <w:lang w:val="en-GB" w:eastAsia="es-ES"/>
              </w:rPr>
            </w:pPr>
          </w:p>
        </w:tc>
      </w:tr>
      <w:tr w:rsidR="006421B7" w:rsidRPr="00934C1A" w14:paraId="7D045415" w14:textId="77777777" w:rsidTr="006421B7">
        <w:trPr>
          <w:trHeight w:val="56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3987116" w14:textId="3C082FA3" w:rsidR="006421B7" w:rsidRPr="006421B7" w:rsidRDefault="006421B7" w:rsidP="00106810">
            <w:pPr>
              <w:spacing w:after="0" w:line="240" w:lineRule="auto"/>
              <w:rPr>
                <w:rFonts w:ascii="Times New Roman" w:eastAsia="Times New Roman" w:hAnsi="Times New Roman" w:cs="Times New Roman"/>
                <w:sz w:val="20"/>
                <w:szCs w:val="20"/>
                <w:lang w:val="en-GB" w:eastAsia="es-ES"/>
              </w:rPr>
            </w:pPr>
            <w:r w:rsidRPr="006421B7">
              <w:rPr>
                <w:rFonts w:ascii="Times New Roman" w:eastAsia="Times New Roman" w:hAnsi="Times New Roman" w:cs="Times New Roman"/>
                <w:sz w:val="20"/>
                <w:szCs w:val="20"/>
                <w:lang w:val="en-GB" w:eastAsia="es-ES"/>
              </w:rPr>
              <w:t>R0570/C01</w:t>
            </w:r>
            <w:r w:rsidR="00513541">
              <w:rPr>
                <w:rFonts w:ascii="Times New Roman" w:eastAsia="Times New Roman" w:hAnsi="Times New Roman" w:cs="Times New Roman"/>
                <w:sz w:val="20"/>
                <w:szCs w:val="20"/>
                <w:lang w:val="en-GB" w:eastAsia="es-ES"/>
              </w:rPr>
              <w:t>0</w:t>
            </w:r>
            <w:r w:rsidRPr="006421B7">
              <w:rPr>
                <w:rFonts w:ascii="Times New Roman" w:eastAsia="Times New Roman" w:hAnsi="Times New Roman" w:cs="Times New Roman"/>
                <w:sz w:val="20"/>
                <w:szCs w:val="20"/>
                <w:lang w:val="en-GB" w:eastAsia="es-ES"/>
              </w:rPr>
              <w:t>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37572B" w14:textId="77777777" w:rsidR="006421B7" w:rsidRPr="006421B7" w:rsidRDefault="006421B7" w:rsidP="00106810">
            <w:pPr>
              <w:spacing w:after="0" w:line="240" w:lineRule="auto"/>
              <w:rPr>
                <w:rFonts w:ascii="Times New Roman" w:eastAsia="Times New Roman" w:hAnsi="Times New Roman" w:cs="Times New Roman"/>
                <w:sz w:val="20"/>
                <w:szCs w:val="20"/>
                <w:lang w:val="en-GB" w:eastAsia="es-ES"/>
              </w:rPr>
            </w:pPr>
            <w:r w:rsidRPr="006421B7">
              <w:rPr>
                <w:rFonts w:ascii="Times New Roman" w:eastAsia="Times New Roman" w:hAnsi="Times New Roman" w:cs="Times New Roman"/>
                <w:sz w:val="20"/>
                <w:szCs w:val="20"/>
                <w:lang w:val="en-GB" w:eastAsia="es-ES"/>
              </w:rPr>
              <w:t>Solvency capital requirement</w:t>
            </w:r>
          </w:p>
        </w:tc>
        <w:tc>
          <w:tcPr>
            <w:tcW w:w="4605" w:type="dxa"/>
            <w:tcBorders>
              <w:top w:val="single" w:sz="4" w:space="0" w:color="auto"/>
              <w:left w:val="single" w:sz="4" w:space="0" w:color="auto"/>
              <w:bottom w:val="single" w:sz="4" w:space="0" w:color="auto"/>
              <w:right w:val="single" w:sz="4" w:space="0" w:color="auto"/>
            </w:tcBorders>
            <w:shd w:val="clear" w:color="auto" w:fill="auto"/>
          </w:tcPr>
          <w:p w14:paraId="68180853" w14:textId="77777777" w:rsidR="006421B7" w:rsidRPr="00934C1A" w:rsidRDefault="006421B7" w:rsidP="00106810">
            <w:pPr>
              <w:spacing w:after="0" w:line="240" w:lineRule="auto"/>
              <w:rPr>
                <w:rFonts w:ascii="Times New Roman" w:eastAsia="Times New Roman" w:hAnsi="Times New Roman" w:cs="Times New Roman"/>
                <w:sz w:val="20"/>
                <w:szCs w:val="20"/>
                <w:lang w:val="en-GB" w:eastAsia="es-ES"/>
              </w:rPr>
            </w:pPr>
            <w:r w:rsidRPr="006421B7">
              <w:rPr>
                <w:rFonts w:ascii="Times New Roman" w:eastAsia="Times New Roman" w:hAnsi="Times New Roman" w:cs="Times New Roman"/>
                <w:sz w:val="20"/>
                <w:szCs w:val="20"/>
                <w:lang w:val="en-GB" w:eastAsia="es-ES"/>
              </w:rPr>
              <w:t>Overall SCR for all undertakings regardless of the method used.</w:t>
            </w:r>
            <w:r w:rsidRPr="00934C1A">
              <w:rPr>
                <w:rFonts w:ascii="Times New Roman" w:eastAsia="Times New Roman" w:hAnsi="Times New Roman" w:cs="Times New Roman"/>
                <w:sz w:val="20"/>
                <w:szCs w:val="20"/>
                <w:lang w:val="en-GB" w:eastAsia="es-ES"/>
              </w:rPr>
              <w:t xml:space="preserve"> </w:t>
            </w:r>
          </w:p>
        </w:tc>
      </w:tr>
    </w:tbl>
    <w:p w14:paraId="76D9B3EA" w14:textId="77777777" w:rsidR="00641969" w:rsidRPr="004C60E5" w:rsidRDefault="00641969">
      <w:pPr>
        <w:rPr>
          <w:sz w:val="20"/>
          <w:szCs w:val="20"/>
        </w:rPr>
      </w:pPr>
    </w:p>
    <w:sectPr w:rsidR="00641969" w:rsidRPr="004C60E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FAA1EE6"/>
    <w:multiLevelType w:val="hybridMultilevel"/>
    <w:tmpl w:val="8A34586A"/>
    <w:lvl w:ilvl="0" w:tplc="1A301E8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C198F"/>
    <w:rsid w:val="00044C42"/>
    <w:rsid w:val="00052CE0"/>
    <w:rsid w:val="000600C4"/>
    <w:rsid w:val="00083323"/>
    <w:rsid w:val="00084288"/>
    <w:rsid w:val="00091E65"/>
    <w:rsid w:val="000A4019"/>
    <w:rsid w:val="000A4599"/>
    <w:rsid w:val="000E1B61"/>
    <w:rsid w:val="000F41C4"/>
    <w:rsid w:val="00101078"/>
    <w:rsid w:val="00114B9F"/>
    <w:rsid w:val="00120675"/>
    <w:rsid w:val="0014237A"/>
    <w:rsid w:val="00144645"/>
    <w:rsid w:val="001771BC"/>
    <w:rsid w:val="0018365E"/>
    <w:rsid w:val="001C198F"/>
    <w:rsid w:val="001E574D"/>
    <w:rsid w:val="00202077"/>
    <w:rsid w:val="00224515"/>
    <w:rsid w:val="00230D49"/>
    <w:rsid w:val="002377CF"/>
    <w:rsid w:val="00246F95"/>
    <w:rsid w:val="00261179"/>
    <w:rsid w:val="002B3138"/>
    <w:rsid w:val="002C529E"/>
    <w:rsid w:val="002E04EF"/>
    <w:rsid w:val="002F7632"/>
    <w:rsid w:val="00310E5D"/>
    <w:rsid w:val="003238E5"/>
    <w:rsid w:val="00341A28"/>
    <w:rsid w:val="00353A6C"/>
    <w:rsid w:val="00367F79"/>
    <w:rsid w:val="003908CB"/>
    <w:rsid w:val="003A5F7C"/>
    <w:rsid w:val="003B1EF8"/>
    <w:rsid w:val="003E0519"/>
    <w:rsid w:val="003F5283"/>
    <w:rsid w:val="00404B79"/>
    <w:rsid w:val="00414457"/>
    <w:rsid w:val="0042255D"/>
    <w:rsid w:val="00432FEB"/>
    <w:rsid w:val="00456BE5"/>
    <w:rsid w:val="004756F2"/>
    <w:rsid w:val="004B5BB4"/>
    <w:rsid w:val="004C1A76"/>
    <w:rsid w:val="004C60E5"/>
    <w:rsid w:val="004D102B"/>
    <w:rsid w:val="004D2BC8"/>
    <w:rsid w:val="004F5310"/>
    <w:rsid w:val="00513541"/>
    <w:rsid w:val="00557832"/>
    <w:rsid w:val="00582AB0"/>
    <w:rsid w:val="005A00B9"/>
    <w:rsid w:val="005B0BCC"/>
    <w:rsid w:val="005B1D20"/>
    <w:rsid w:val="005C5CD2"/>
    <w:rsid w:val="005D1328"/>
    <w:rsid w:val="005E13A2"/>
    <w:rsid w:val="005F58EB"/>
    <w:rsid w:val="0060371A"/>
    <w:rsid w:val="00611CEF"/>
    <w:rsid w:val="00612661"/>
    <w:rsid w:val="00625A08"/>
    <w:rsid w:val="006414B0"/>
    <w:rsid w:val="00641969"/>
    <w:rsid w:val="006421B7"/>
    <w:rsid w:val="00676DFD"/>
    <w:rsid w:val="006774B3"/>
    <w:rsid w:val="006A355C"/>
    <w:rsid w:val="006B2D8C"/>
    <w:rsid w:val="006B572A"/>
    <w:rsid w:val="006B7DCE"/>
    <w:rsid w:val="006C5C20"/>
    <w:rsid w:val="006C6E64"/>
    <w:rsid w:val="006D1384"/>
    <w:rsid w:val="006D3EB0"/>
    <w:rsid w:val="006D4350"/>
    <w:rsid w:val="006E003D"/>
    <w:rsid w:val="006E299D"/>
    <w:rsid w:val="006E3CCB"/>
    <w:rsid w:val="006E6A39"/>
    <w:rsid w:val="00716837"/>
    <w:rsid w:val="00727A06"/>
    <w:rsid w:val="0073250A"/>
    <w:rsid w:val="00735DE7"/>
    <w:rsid w:val="0074443F"/>
    <w:rsid w:val="00745381"/>
    <w:rsid w:val="00767C66"/>
    <w:rsid w:val="00772AEF"/>
    <w:rsid w:val="00773AE4"/>
    <w:rsid w:val="00774F9F"/>
    <w:rsid w:val="00776255"/>
    <w:rsid w:val="007910CF"/>
    <w:rsid w:val="007A1BA9"/>
    <w:rsid w:val="007A4005"/>
    <w:rsid w:val="007B67FC"/>
    <w:rsid w:val="007B7E3B"/>
    <w:rsid w:val="007D3753"/>
    <w:rsid w:val="007E25E9"/>
    <w:rsid w:val="0082012D"/>
    <w:rsid w:val="00824655"/>
    <w:rsid w:val="0082482C"/>
    <w:rsid w:val="00835439"/>
    <w:rsid w:val="0085162A"/>
    <w:rsid w:val="00853B88"/>
    <w:rsid w:val="00867094"/>
    <w:rsid w:val="00884F23"/>
    <w:rsid w:val="008B0FED"/>
    <w:rsid w:val="008D3888"/>
    <w:rsid w:val="008F34A6"/>
    <w:rsid w:val="00903D8C"/>
    <w:rsid w:val="009054DD"/>
    <w:rsid w:val="009375F8"/>
    <w:rsid w:val="009417AB"/>
    <w:rsid w:val="0095315B"/>
    <w:rsid w:val="009575C9"/>
    <w:rsid w:val="00957A6A"/>
    <w:rsid w:val="009843EE"/>
    <w:rsid w:val="009844CF"/>
    <w:rsid w:val="009860F4"/>
    <w:rsid w:val="00992F92"/>
    <w:rsid w:val="009C3758"/>
    <w:rsid w:val="009D3A26"/>
    <w:rsid w:val="009D4D1C"/>
    <w:rsid w:val="009D6FF3"/>
    <w:rsid w:val="009E62EE"/>
    <w:rsid w:val="009F4C8D"/>
    <w:rsid w:val="00A05C79"/>
    <w:rsid w:val="00A1019D"/>
    <w:rsid w:val="00A11A94"/>
    <w:rsid w:val="00A120BD"/>
    <w:rsid w:val="00A6681E"/>
    <w:rsid w:val="00A70805"/>
    <w:rsid w:val="00A97091"/>
    <w:rsid w:val="00AA5E5A"/>
    <w:rsid w:val="00AA74F3"/>
    <w:rsid w:val="00AB475B"/>
    <w:rsid w:val="00AB6AE6"/>
    <w:rsid w:val="00AD4B35"/>
    <w:rsid w:val="00AF2559"/>
    <w:rsid w:val="00B14698"/>
    <w:rsid w:val="00B167EB"/>
    <w:rsid w:val="00B16911"/>
    <w:rsid w:val="00B22AB6"/>
    <w:rsid w:val="00B42A4A"/>
    <w:rsid w:val="00B43831"/>
    <w:rsid w:val="00B5098C"/>
    <w:rsid w:val="00B56068"/>
    <w:rsid w:val="00B6392C"/>
    <w:rsid w:val="00B67BC0"/>
    <w:rsid w:val="00B73B70"/>
    <w:rsid w:val="00BB1241"/>
    <w:rsid w:val="00BB4E1D"/>
    <w:rsid w:val="00BB78BB"/>
    <w:rsid w:val="00BC7F60"/>
    <w:rsid w:val="00BE0EFC"/>
    <w:rsid w:val="00BF2FC0"/>
    <w:rsid w:val="00BF3FB1"/>
    <w:rsid w:val="00C11F0B"/>
    <w:rsid w:val="00C177DA"/>
    <w:rsid w:val="00C245BF"/>
    <w:rsid w:val="00C2732E"/>
    <w:rsid w:val="00C340B8"/>
    <w:rsid w:val="00C37234"/>
    <w:rsid w:val="00C466FA"/>
    <w:rsid w:val="00C81868"/>
    <w:rsid w:val="00C9775F"/>
    <w:rsid w:val="00CA6E5E"/>
    <w:rsid w:val="00CB4137"/>
    <w:rsid w:val="00CB6CBA"/>
    <w:rsid w:val="00CB716D"/>
    <w:rsid w:val="00CC7333"/>
    <w:rsid w:val="00CD2E04"/>
    <w:rsid w:val="00CE6EDB"/>
    <w:rsid w:val="00D13E33"/>
    <w:rsid w:val="00D20856"/>
    <w:rsid w:val="00D32D6A"/>
    <w:rsid w:val="00D444ED"/>
    <w:rsid w:val="00D7364B"/>
    <w:rsid w:val="00D86EDB"/>
    <w:rsid w:val="00D87FDA"/>
    <w:rsid w:val="00D91AD1"/>
    <w:rsid w:val="00DB0147"/>
    <w:rsid w:val="00DE4A3F"/>
    <w:rsid w:val="00E0347F"/>
    <w:rsid w:val="00E17771"/>
    <w:rsid w:val="00E50D5F"/>
    <w:rsid w:val="00E56D2D"/>
    <w:rsid w:val="00E72765"/>
    <w:rsid w:val="00E8402A"/>
    <w:rsid w:val="00E93329"/>
    <w:rsid w:val="00EA03B9"/>
    <w:rsid w:val="00EC34BF"/>
    <w:rsid w:val="00EC7019"/>
    <w:rsid w:val="00EF0081"/>
    <w:rsid w:val="00EF4699"/>
    <w:rsid w:val="00F038D7"/>
    <w:rsid w:val="00F36C1D"/>
    <w:rsid w:val="00F56F10"/>
    <w:rsid w:val="00F759E9"/>
    <w:rsid w:val="00F8089C"/>
    <w:rsid w:val="00F814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4C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F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1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F0B"/>
    <w:rPr>
      <w:rFonts w:ascii="Segoe UI" w:hAnsi="Segoe UI" w:cs="Segoe UI"/>
      <w:sz w:val="18"/>
      <w:szCs w:val="18"/>
    </w:rPr>
  </w:style>
  <w:style w:type="character" w:styleId="CommentReference">
    <w:name w:val="annotation reference"/>
    <w:basedOn w:val="DefaultParagraphFont"/>
    <w:uiPriority w:val="99"/>
    <w:semiHidden/>
    <w:unhideWhenUsed/>
    <w:rsid w:val="00992F92"/>
    <w:rPr>
      <w:sz w:val="16"/>
      <w:szCs w:val="16"/>
    </w:rPr>
  </w:style>
  <w:style w:type="paragraph" w:styleId="CommentText">
    <w:name w:val="annotation text"/>
    <w:basedOn w:val="Normal"/>
    <w:link w:val="CommentTextChar"/>
    <w:uiPriority w:val="99"/>
    <w:semiHidden/>
    <w:unhideWhenUsed/>
    <w:rsid w:val="00992F92"/>
    <w:pPr>
      <w:spacing w:line="240" w:lineRule="auto"/>
    </w:pPr>
    <w:rPr>
      <w:sz w:val="20"/>
      <w:szCs w:val="20"/>
    </w:rPr>
  </w:style>
  <w:style w:type="character" w:customStyle="1" w:styleId="CommentTextChar">
    <w:name w:val="Comment Text Char"/>
    <w:basedOn w:val="DefaultParagraphFont"/>
    <w:link w:val="CommentText"/>
    <w:uiPriority w:val="99"/>
    <w:semiHidden/>
    <w:rsid w:val="00992F92"/>
    <w:rPr>
      <w:sz w:val="20"/>
      <w:szCs w:val="20"/>
    </w:rPr>
  </w:style>
  <w:style w:type="paragraph" w:styleId="CommentSubject">
    <w:name w:val="annotation subject"/>
    <w:basedOn w:val="CommentText"/>
    <w:next w:val="CommentText"/>
    <w:link w:val="CommentSubjectChar"/>
    <w:uiPriority w:val="99"/>
    <w:semiHidden/>
    <w:unhideWhenUsed/>
    <w:rsid w:val="00992F92"/>
    <w:rPr>
      <w:b/>
      <w:bCs/>
    </w:rPr>
  </w:style>
  <w:style w:type="character" w:customStyle="1" w:styleId="CommentSubjectChar">
    <w:name w:val="Comment Subject Char"/>
    <w:basedOn w:val="CommentTextChar"/>
    <w:link w:val="CommentSubject"/>
    <w:uiPriority w:val="99"/>
    <w:semiHidden/>
    <w:rsid w:val="00992F92"/>
    <w:rPr>
      <w:b/>
      <w:bCs/>
      <w:sz w:val="20"/>
      <w:szCs w:val="20"/>
    </w:rPr>
  </w:style>
  <w:style w:type="paragraph" w:styleId="ListParagraph">
    <w:name w:val="List Paragraph"/>
    <w:basedOn w:val="Normal"/>
    <w:uiPriority w:val="34"/>
    <w:qFormat/>
    <w:rsid w:val="00230D49"/>
    <w:pPr>
      <w:ind w:left="720"/>
      <w:contextualSpacing/>
    </w:pPr>
  </w:style>
  <w:style w:type="character" w:styleId="PlaceholderText">
    <w:name w:val="Placeholder Text"/>
    <w:basedOn w:val="DefaultParagraphFont"/>
    <w:uiPriority w:val="99"/>
    <w:semiHidden/>
    <w:rsid w:val="002B3138"/>
    <w:rPr>
      <w:color w:val="808080"/>
    </w:rPr>
  </w:style>
  <w:style w:type="paragraph" w:styleId="Revision">
    <w:name w:val="Revision"/>
    <w:hidden/>
    <w:uiPriority w:val="99"/>
    <w:semiHidden/>
    <w:rsid w:val="005F58E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F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1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F0B"/>
    <w:rPr>
      <w:rFonts w:ascii="Segoe UI" w:hAnsi="Segoe UI" w:cs="Segoe UI"/>
      <w:sz w:val="18"/>
      <w:szCs w:val="18"/>
    </w:rPr>
  </w:style>
  <w:style w:type="character" w:styleId="CommentReference">
    <w:name w:val="annotation reference"/>
    <w:basedOn w:val="DefaultParagraphFont"/>
    <w:uiPriority w:val="99"/>
    <w:semiHidden/>
    <w:unhideWhenUsed/>
    <w:rsid w:val="00992F92"/>
    <w:rPr>
      <w:sz w:val="16"/>
      <w:szCs w:val="16"/>
    </w:rPr>
  </w:style>
  <w:style w:type="paragraph" w:styleId="CommentText">
    <w:name w:val="annotation text"/>
    <w:basedOn w:val="Normal"/>
    <w:link w:val="CommentTextChar"/>
    <w:uiPriority w:val="99"/>
    <w:semiHidden/>
    <w:unhideWhenUsed/>
    <w:rsid w:val="00992F92"/>
    <w:pPr>
      <w:spacing w:line="240" w:lineRule="auto"/>
    </w:pPr>
    <w:rPr>
      <w:sz w:val="20"/>
      <w:szCs w:val="20"/>
    </w:rPr>
  </w:style>
  <w:style w:type="character" w:customStyle="1" w:styleId="CommentTextChar">
    <w:name w:val="Comment Text Char"/>
    <w:basedOn w:val="DefaultParagraphFont"/>
    <w:link w:val="CommentText"/>
    <w:uiPriority w:val="99"/>
    <w:semiHidden/>
    <w:rsid w:val="00992F92"/>
    <w:rPr>
      <w:sz w:val="20"/>
      <w:szCs w:val="20"/>
    </w:rPr>
  </w:style>
  <w:style w:type="paragraph" w:styleId="CommentSubject">
    <w:name w:val="annotation subject"/>
    <w:basedOn w:val="CommentText"/>
    <w:next w:val="CommentText"/>
    <w:link w:val="CommentSubjectChar"/>
    <w:uiPriority w:val="99"/>
    <w:semiHidden/>
    <w:unhideWhenUsed/>
    <w:rsid w:val="00992F92"/>
    <w:rPr>
      <w:b/>
      <w:bCs/>
    </w:rPr>
  </w:style>
  <w:style w:type="character" w:customStyle="1" w:styleId="CommentSubjectChar">
    <w:name w:val="Comment Subject Char"/>
    <w:basedOn w:val="CommentTextChar"/>
    <w:link w:val="CommentSubject"/>
    <w:uiPriority w:val="99"/>
    <w:semiHidden/>
    <w:rsid w:val="00992F92"/>
    <w:rPr>
      <w:b/>
      <w:bCs/>
      <w:sz w:val="20"/>
      <w:szCs w:val="20"/>
    </w:rPr>
  </w:style>
  <w:style w:type="paragraph" w:styleId="ListParagraph">
    <w:name w:val="List Paragraph"/>
    <w:basedOn w:val="Normal"/>
    <w:uiPriority w:val="34"/>
    <w:qFormat/>
    <w:rsid w:val="00230D49"/>
    <w:pPr>
      <w:ind w:left="720"/>
      <w:contextualSpacing/>
    </w:pPr>
  </w:style>
  <w:style w:type="character" w:styleId="PlaceholderText">
    <w:name w:val="Placeholder Text"/>
    <w:basedOn w:val="DefaultParagraphFont"/>
    <w:uiPriority w:val="99"/>
    <w:semiHidden/>
    <w:rsid w:val="002B3138"/>
    <w:rPr>
      <w:color w:val="808080"/>
    </w:rPr>
  </w:style>
  <w:style w:type="paragraph" w:styleId="Revision">
    <w:name w:val="Revision"/>
    <w:hidden/>
    <w:uiPriority w:val="99"/>
    <w:semiHidden/>
    <w:rsid w:val="005F58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339854">
      <w:bodyDiv w:val="1"/>
      <w:marLeft w:val="0"/>
      <w:marRight w:val="0"/>
      <w:marTop w:val="0"/>
      <w:marBottom w:val="0"/>
      <w:divBdr>
        <w:top w:val="none" w:sz="0" w:space="0" w:color="auto"/>
        <w:left w:val="none" w:sz="0" w:space="0" w:color="auto"/>
        <w:bottom w:val="none" w:sz="0" w:space="0" w:color="auto"/>
        <w:right w:val="none" w:sz="0" w:space="0" w:color="auto"/>
      </w:divBdr>
    </w:div>
    <w:div w:id="567418918">
      <w:bodyDiv w:val="1"/>
      <w:marLeft w:val="0"/>
      <w:marRight w:val="0"/>
      <w:marTop w:val="0"/>
      <w:marBottom w:val="0"/>
      <w:divBdr>
        <w:top w:val="none" w:sz="0" w:space="0" w:color="auto"/>
        <w:left w:val="none" w:sz="0" w:space="0" w:color="auto"/>
        <w:bottom w:val="none" w:sz="0" w:space="0" w:color="auto"/>
        <w:right w:val="none" w:sz="0" w:space="0" w:color="auto"/>
      </w:divBdr>
    </w:div>
    <w:div w:id="809129434">
      <w:bodyDiv w:val="1"/>
      <w:marLeft w:val="0"/>
      <w:marRight w:val="0"/>
      <w:marTop w:val="0"/>
      <w:marBottom w:val="0"/>
      <w:divBdr>
        <w:top w:val="none" w:sz="0" w:space="0" w:color="auto"/>
        <w:left w:val="none" w:sz="0" w:space="0" w:color="auto"/>
        <w:bottom w:val="none" w:sz="0" w:space="0" w:color="auto"/>
        <w:right w:val="none" w:sz="0" w:space="0" w:color="auto"/>
      </w:divBdr>
    </w:div>
    <w:div w:id="1237326110">
      <w:bodyDiv w:val="1"/>
      <w:marLeft w:val="0"/>
      <w:marRight w:val="0"/>
      <w:marTop w:val="0"/>
      <w:marBottom w:val="0"/>
      <w:divBdr>
        <w:top w:val="none" w:sz="0" w:space="0" w:color="auto"/>
        <w:left w:val="none" w:sz="0" w:space="0" w:color="auto"/>
        <w:bottom w:val="none" w:sz="0" w:space="0" w:color="auto"/>
        <w:right w:val="none" w:sz="0" w:space="0" w:color="auto"/>
      </w:divBdr>
    </w:div>
    <w:div w:id="1350253255">
      <w:bodyDiv w:val="1"/>
      <w:marLeft w:val="0"/>
      <w:marRight w:val="0"/>
      <w:marTop w:val="0"/>
      <w:marBottom w:val="0"/>
      <w:divBdr>
        <w:top w:val="none" w:sz="0" w:space="0" w:color="auto"/>
        <w:left w:val="none" w:sz="0" w:space="0" w:color="auto"/>
        <w:bottom w:val="none" w:sz="0" w:space="0" w:color="auto"/>
        <w:right w:val="none" w:sz="0" w:space="0" w:color="auto"/>
      </w:divBdr>
    </w:div>
    <w:div w:id="1484276005">
      <w:bodyDiv w:val="1"/>
      <w:marLeft w:val="0"/>
      <w:marRight w:val="0"/>
      <w:marTop w:val="0"/>
      <w:marBottom w:val="0"/>
      <w:divBdr>
        <w:top w:val="none" w:sz="0" w:space="0" w:color="auto"/>
        <w:left w:val="none" w:sz="0" w:space="0" w:color="auto"/>
        <w:bottom w:val="none" w:sz="0" w:space="0" w:color="auto"/>
        <w:right w:val="none" w:sz="0" w:space="0" w:color="auto"/>
      </w:divBdr>
    </w:div>
    <w:div w:id="1813250598">
      <w:bodyDiv w:val="1"/>
      <w:marLeft w:val="0"/>
      <w:marRight w:val="0"/>
      <w:marTop w:val="0"/>
      <w:marBottom w:val="0"/>
      <w:divBdr>
        <w:top w:val="none" w:sz="0" w:space="0" w:color="auto"/>
        <w:left w:val="none" w:sz="0" w:space="0" w:color="auto"/>
        <w:bottom w:val="none" w:sz="0" w:space="0" w:color="auto"/>
        <w:right w:val="none" w:sz="0" w:space="0" w:color="auto"/>
      </w:divBdr>
    </w:div>
    <w:div w:id="186609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3F346-AE38-4CE6-A26E-8D62CA6C5122}">
  <ds:schemaRefs/>
</ds:datastoreItem>
</file>

<file path=customXml/itemProps2.xml><?xml version="1.0" encoding="utf-8"?>
<ds:datastoreItem xmlns:ds="http://schemas.openxmlformats.org/officeDocument/2006/customXml" ds:itemID="{5A83D1E4-6498-4C4B-97F6-C31AA8AA6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1586</Words>
  <Characters>9041</Characters>
  <Application>Microsoft Office Word</Application>
  <DocSecurity>0</DocSecurity>
  <Lines>75</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10606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6</cp:revision>
  <dcterms:created xsi:type="dcterms:W3CDTF">2015-06-29T11:06:00Z</dcterms:created>
  <dcterms:modified xsi:type="dcterms:W3CDTF">2015-06-30T10:08:00Z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